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369"/>
        <w:gridCol w:w="6095"/>
      </w:tblGrid>
      <w:tr w:rsidR="00D824C7" w:rsidRPr="00D824C7" w:rsidTr="00905F66">
        <w:trPr>
          <w:trHeight w:val="699"/>
        </w:trPr>
        <w:tc>
          <w:tcPr>
            <w:tcW w:w="3369" w:type="dxa"/>
          </w:tcPr>
          <w:p w:rsidR="007D380E" w:rsidRPr="00D824C7" w:rsidRDefault="007D380E" w:rsidP="00AE0860">
            <w:pPr>
              <w:jc w:val="center"/>
              <w:rPr>
                <w:rFonts w:eastAsia="Calibri"/>
                <w:b/>
              </w:rPr>
            </w:pPr>
            <w:r w:rsidRPr="00D824C7">
              <w:rPr>
                <w:rFonts w:eastAsia="Calibri"/>
                <w:b/>
              </w:rPr>
              <w:t>ỦY BAN NHÂN DÂN</w:t>
            </w:r>
          </w:p>
          <w:p w:rsidR="007D380E" w:rsidRPr="00D824C7" w:rsidRDefault="007D380E" w:rsidP="00AE0860">
            <w:pPr>
              <w:jc w:val="center"/>
              <w:rPr>
                <w:rFonts w:eastAsia="Calibri"/>
              </w:rPr>
            </w:pPr>
            <w:r w:rsidRPr="00D824C7">
              <w:rPr>
                <w:rFonts w:ascii="Times New Roman Bold" w:eastAsia="Calibri" w:hAnsi="Times New Roman Bold"/>
                <w:b/>
                <w:noProof/>
              </w:rPr>
              <mc:AlternateContent>
                <mc:Choice Requires="wps">
                  <w:drawing>
                    <wp:anchor distT="0" distB="0" distL="114300" distR="114300" simplePos="0" relativeHeight="251661312" behindDoc="0" locked="0" layoutInCell="1" allowOverlap="1" wp14:anchorId="77FF491A" wp14:editId="17A46FBF">
                      <wp:simplePos x="0" y="0"/>
                      <wp:positionH relativeFrom="column">
                        <wp:posOffset>609747</wp:posOffset>
                      </wp:positionH>
                      <wp:positionV relativeFrom="paragraph">
                        <wp:posOffset>215265</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16.95pt" to="107.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" strokecolor="black [3040]"/>
                  </w:pict>
                </mc:Fallback>
              </mc:AlternateContent>
            </w:r>
            <w:r w:rsidRPr="00D824C7">
              <w:rPr>
                <w:rFonts w:eastAsia="Calibri"/>
                <w:b/>
              </w:rPr>
              <w:t>THÀNH PHỐ ĐÀ NẴNG</w:t>
            </w:r>
          </w:p>
        </w:tc>
        <w:tc>
          <w:tcPr>
            <w:tcW w:w="6095" w:type="dxa"/>
          </w:tcPr>
          <w:p w:rsidR="007D380E" w:rsidRPr="00D824C7" w:rsidRDefault="007D380E" w:rsidP="00905F66">
            <w:pPr>
              <w:rPr>
                <w:rFonts w:eastAsia="Calibri"/>
                <w:b/>
              </w:rPr>
            </w:pPr>
            <w:r w:rsidRPr="00D824C7">
              <w:rPr>
                <w:rFonts w:eastAsia="Calibri"/>
                <w:b/>
              </w:rPr>
              <w:t>CỘNG HÒA XÃ HỘI CHỦ NGHĨA VIỆT NAM</w:t>
            </w:r>
          </w:p>
          <w:p w:rsidR="007D380E" w:rsidRPr="00D824C7" w:rsidRDefault="007D380E" w:rsidP="00AE0860">
            <w:pPr>
              <w:jc w:val="center"/>
              <w:rPr>
                <w:rFonts w:eastAsia="Calibri"/>
                <w:b/>
              </w:rPr>
            </w:pPr>
            <w:r w:rsidRPr="00D824C7">
              <w:rPr>
                <w:rFonts w:eastAsia="Calibri"/>
                <w:b/>
                <w:noProof/>
              </w:rPr>
              <mc:AlternateContent>
                <mc:Choice Requires="wps">
                  <w:drawing>
                    <wp:anchor distT="4294967295" distB="4294967295" distL="114300" distR="114300" simplePos="0" relativeHeight="251660288" behindDoc="0" locked="0" layoutInCell="1" allowOverlap="1" wp14:anchorId="16C3F8FC" wp14:editId="7733A054">
                      <wp:simplePos x="0" y="0"/>
                      <wp:positionH relativeFrom="column">
                        <wp:posOffset>775237</wp:posOffset>
                      </wp:positionH>
                      <wp:positionV relativeFrom="paragraph">
                        <wp:posOffset>221615</wp:posOffset>
                      </wp:positionV>
                      <wp:extent cx="2155825"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5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17.45pt" to="230.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" strokecolor="black [3040]">
                      <o:lock v:ext="edit" shapetype="f"/>
                    </v:line>
                  </w:pict>
                </mc:Fallback>
              </mc:AlternateContent>
            </w:r>
            <w:r w:rsidRPr="00D824C7">
              <w:rPr>
                <w:rFonts w:eastAsia="Calibri"/>
                <w:b/>
              </w:rPr>
              <w:t>Độc lập - Tự do - Hạnh phúc</w:t>
            </w:r>
          </w:p>
        </w:tc>
      </w:tr>
      <w:tr w:rsidR="007D380E" w:rsidRPr="00D824C7" w:rsidTr="00905F66">
        <w:tc>
          <w:tcPr>
            <w:tcW w:w="3369" w:type="dxa"/>
          </w:tcPr>
          <w:p w:rsidR="007D380E" w:rsidRPr="00D824C7" w:rsidRDefault="007D380E" w:rsidP="00AE0860">
            <w:pPr>
              <w:spacing w:before="120" w:after="120"/>
              <w:jc w:val="center"/>
              <w:rPr>
                <w:rFonts w:eastAsia="Calibri"/>
              </w:rPr>
            </w:pPr>
            <w:r w:rsidRPr="00D824C7">
              <w:rPr>
                <w:rFonts w:eastAsia="Calibri"/>
              </w:rPr>
              <w:t>Số:          /TTr-UBND</w:t>
            </w:r>
          </w:p>
        </w:tc>
        <w:tc>
          <w:tcPr>
            <w:tcW w:w="6095" w:type="dxa"/>
          </w:tcPr>
          <w:p w:rsidR="007D380E" w:rsidRPr="00774F8D" w:rsidRDefault="007D380E" w:rsidP="00AE0860">
            <w:pPr>
              <w:spacing w:before="120" w:after="120"/>
              <w:jc w:val="center"/>
              <w:rPr>
                <w:rFonts w:eastAsia="Calibri"/>
                <w:i/>
              </w:rPr>
            </w:pPr>
            <w:r w:rsidRPr="00774F8D">
              <w:rPr>
                <w:rFonts w:eastAsia="Calibri"/>
                <w:i/>
              </w:rPr>
              <w:t>Đà Nẵng, ngày       tháng      năm 20</w:t>
            </w:r>
            <w:r w:rsidR="00DF7509" w:rsidRPr="00774F8D">
              <w:rPr>
                <w:rFonts w:eastAsia="Calibri"/>
                <w:i/>
              </w:rPr>
              <w:t>25</w:t>
            </w:r>
          </w:p>
        </w:tc>
      </w:tr>
    </w:tbl>
    <w:p w:rsidR="006A7A5C" w:rsidRPr="00D824C7" w:rsidRDefault="006A7A5C" w:rsidP="00A450CD">
      <w:pPr>
        <w:rPr>
          <w:b/>
          <w:sz w:val="4"/>
          <w:szCs w:val="24"/>
          <w:lang w:eastAsia="vi-VN"/>
        </w:rPr>
      </w:pPr>
    </w:p>
    <w:p w:rsidR="00C86127" w:rsidRDefault="00C86127" w:rsidP="00774F8D">
      <w:pPr>
        <w:spacing w:before="120"/>
        <w:jc w:val="center"/>
        <w:rPr>
          <w:b/>
        </w:rPr>
      </w:pPr>
      <w:r w:rsidRPr="00C86127">
        <w:rPr>
          <w:noProof/>
        </w:rPr>
        <mc:AlternateContent>
          <mc:Choice Requires="wps">
            <w:drawing>
              <wp:anchor distT="0" distB="0" distL="114300" distR="114300" simplePos="0" relativeHeight="251665408" behindDoc="0" locked="0" layoutInCell="1" allowOverlap="1" wp14:anchorId="552C50F8" wp14:editId="202B1CB4">
                <wp:simplePos x="0" y="0"/>
                <wp:positionH relativeFrom="column">
                  <wp:posOffset>446225</wp:posOffset>
                </wp:positionH>
                <wp:positionV relativeFrom="paragraph">
                  <wp:posOffset>53975</wp:posOffset>
                </wp:positionV>
                <wp:extent cx="1190624" cy="328294"/>
                <wp:effectExtent l="0" t="0" r="1016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4" cy="328294"/>
                        </a:xfrm>
                        <a:prstGeom prst="rect">
                          <a:avLst/>
                        </a:prstGeom>
                        <a:solidFill>
                          <a:srgbClr val="FFFFFF"/>
                        </a:solidFill>
                        <a:ln w="9525">
                          <a:solidFill>
                            <a:srgbClr val="000000"/>
                          </a:solidFill>
                          <a:miter lim="800000"/>
                          <a:headEnd/>
                          <a:tailEnd/>
                        </a:ln>
                      </wps:spPr>
                      <wps:txbx>
                        <w:txbxContent>
                          <w:p w:rsidR="00080E7F" w:rsidRPr="00122294" w:rsidRDefault="00080E7F" w:rsidP="00C86127">
                            <w:pPr>
                              <w:jc w:val="center"/>
                              <w:rPr>
                                <w:b/>
                              </w:rPr>
                            </w:pPr>
                            <w:r w:rsidRPr="00122294">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5pt;margin-top:4.25pt;width:93.75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">
                <v:textbox>
                  <w:txbxContent>
                    <w:p w:rsidR="00080E7F" w:rsidRPr="00122294" w:rsidRDefault="00080E7F" w:rsidP="00C86127">
                      <w:pPr>
                        <w:jc w:val="center"/>
                        <w:rPr>
                          <w:b/>
                        </w:rPr>
                      </w:pPr>
                      <w:r w:rsidRPr="00122294">
                        <w:rPr>
                          <w:b/>
                        </w:rPr>
                        <w:t>DỰ THẢO</w:t>
                      </w:r>
                    </w:p>
                  </w:txbxContent>
                </v:textbox>
              </v:shape>
            </w:pict>
          </mc:Fallback>
        </mc:AlternateContent>
      </w:r>
    </w:p>
    <w:p w:rsidR="00C86127" w:rsidRPr="00C86127" w:rsidRDefault="00C86127" w:rsidP="00774F8D">
      <w:pPr>
        <w:spacing w:before="120"/>
        <w:jc w:val="center"/>
        <w:rPr>
          <w:b/>
          <w:bCs/>
          <w:sz w:val="6"/>
        </w:rPr>
      </w:pPr>
    </w:p>
    <w:p w:rsidR="00E97FC1" w:rsidRPr="00F1583C" w:rsidRDefault="00E97FC1" w:rsidP="00774F8D">
      <w:pPr>
        <w:spacing w:before="120"/>
        <w:jc w:val="center"/>
        <w:rPr>
          <w:b/>
          <w:bCs/>
        </w:rPr>
      </w:pPr>
      <w:r w:rsidRPr="00F1583C">
        <w:rPr>
          <w:b/>
          <w:bCs/>
        </w:rPr>
        <w:t>TỜ TRÌNH</w:t>
      </w:r>
    </w:p>
    <w:p w:rsidR="00E97FC1" w:rsidRPr="00F1583C" w:rsidRDefault="00E97FC1" w:rsidP="00E97FC1">
      <w:pPr>
        <w:spacing w:before="120"/>
        <w:jc w:val="center"/>
        <w:rPr>
          <w:rFonts w:ascii="Times New Roman Bold" w:hAnsi="Times New Roman Bold"/>
          <w:b/>
        </w:rPr>
      </w:pPr>
      <w:r w:rsidRPr="00F1583C">
        <w:rPr>
          <w:rFonts w:ascii="Times New Roman Bold" w:hAnsi="Times New Roman Bold"/>
          <w:b/>
        </w:rPr>
        <w:t xml:space="preserve">Ban hành </w:t>
      </w:r>
      <w:r w:rsidRPr="00F1583C">
        <w:rPr>
          <w:rFonts w:ascii="Times New Roman Bold" w:hAnsi="Times New Roman Bold"/>
          <w:b/>
          <w:bCs/>
        </w:rPr>
        <w:t>Nghị quyết</w:t>
      </w:r>
      <w:r w:rsidRPr="00F1583C">
        <w:rPr>
          <w:rFonts w:ascii="Times New Roman Bold" w:hAnsi="Times New Roman Bold"/>
        </w:rPr>
        <w:t xml:space="preserve"> </w:t>
      </w:r>
      <w:r w:rsidRPr="00F1583C">
        <w:rPr>
          <w:rFonts w:ascii="Times New Roman Bold" w:hAnsi="Times New Roman Bold"/>
          <w:b/>
        </w:rPr>
        <w:t>quy định chính sách trợ cấp hàng tháng, trợ cấp</w:t>
      </w:r>
      <w:r w:rsidR="00F6431B" w:rsidRPr="00F1583C">
        <w:rPr>
          <w:rFonts w:ascii="Times New Roman Bold" w:hAnsi="Times New Roman Bold"/>
          <w:b/>
        </w:rPr>
        <w:br/>
      </w:r>
      <w:r w:rsidRPr="00F1583C">
        <w:rPr>
          <w:rFonts w:ascii="Times New Roman Bold" w:hAnsi="Times New Roman Bold"/>
          <w:b/>
        </w:rPr>
        <w:t>một lần đối với một số người có công với cách mạng và thân nhân</w:t>
      </w:r>
      <w:r w:rsidR="00F6431B" w:rsidRPr="00F1583C">
        <w:rPr>
          <w:rFonts w:ascii="Times New Roman Bold" w:hAnsi="Times New Roman Bold"/>
          <w:b/>
        </w:rPr>
        <w:br/>
        <w:t xml:space="preserve">trên địa bàn </w:t>
      </w:r>
      <w:r w:rsidR="00BB7611">
        <w:rPr>
          <w:rFonts w:ascii="Times New Roman Bold" w:hAnsi="Times New Roman Bold"/>
          <w:b/>
        </w:rPr>
        <w:t>thành phố Đà Nẵng</w:t>
      </w:r>
    </w:p>
    <w:p w:rsidR="00E97FC1" w:rsidRPr="00F1583C" w:rsidRDefault="00E97FC1" w:rsidP="00E3263C">
      <w:pPr>
        <w:spacing w:before="240" w:after="240"/>
        <w:jc w:val="center"/>
      </w:pPr>
      <w:r w:rsidRPr="00F1583C">
        <w:rPr>
          <w:b/>
          <w:noProof/>
        </w:rPr>
        <mc:AlternateContent>
          <mc:Choice Requires="wps">
            <w:drawing>
              <wp:anchor distT="0" distB="0" distL="114300" distR="114300" simplePos="0" relativeHeight="251663360" behindDoc="0" locked="0" layoutInCell="1" allowOverlap="1" wp14:anchorId="667A8001" wp14:editId="048D9AE1">
                <wp:simplePos x="0" y="0"/>
                <wp:positionH relativeFrom="column">
                  <wp:posOffset>2123923</wp:posOffset>
                </wp:positionH>
                <wp:positionV relativeFrom="paragraph">
                  <wp:posOffset>37211</wp:posOffset>
                </wp:positionV>
                <wp:extent cx="1550822" cy="0"/>
                <wp:effectExtent l="0" t="0" r="0" b="0"/>
                <wp:wrapNone/>
                <wp:docPr id="1151724902" name="Straight Connector 8"/>
                <wp:cNvGraphicFramePr/>
                <a:graphic xmlns:a="http://schemas.openxmlformats.org/drawingml/2006/main">
                  <a:graphicData uri="http://schemas.microsoft.com/office/word/2010/wordprocessingShape">
                    <wps:wsp>
                      <wps:cNvCnPr/>
                      <wps:spPr>
                        <a:xfrm>
                          <a:off x="0" y="0"/>
                          <a:ext cx="155082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25pt,2.95pt" to="289.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"/>
            </w:pict>
          </mc:Fallback>
        </mc:AlternateContent>
      </w:r>
      <w:r w:rsidR="00C86127" w:rsidRPr="00F1583C">
        <w:t>Kính gửi: Hội đồng nhân dân</w:t>
      </w:r>
      <w:r w:rsidRPr="00F1583C">
        <w:t xml:space="preserve"> thành phố Đà Nẵng</w:t>
      </w:r>
    </w:p>
    <w:p w:rsidR="00E97FC1" w:rsidRPr="00F1583C" w:rsidRDefault="006842FF" w:rsidP="004667B5">
      <w:pPr>
        <w:widowControl w:val="0"/>
        <w:spacing w:before="120" w:after="120"/>
        <w:ind w:firstLine="567"/>
        <w:jc w:val="both"/>
        <w:rPr>
          <w:rFonts w:eastAsia="Courier New"/>
          <w:lang w:eastAsia="vi-VN"/>
        </w:rPr>
      </w:pPr>
      <w:r w:rsidRPr="00F1583C">
        <w:rPr>
          <w:lang w:val="vi-VN"/>
        </w:rPr>
        <w:t>Thực hiện</w:t>
      </w:r>
      <w:r w:rsidRPr="00F1583C">
        <w:t xml:space="preserve"> quy định của </w:t>
      </w:r>
      <w:r w:rsidRPr="00F1583C">
        <w:rPr>
          <w:lang w:val="vi-VN"/>
        </w:rPr>
        <w:t xml:space="preserve">Luật Ban hành văn bản quy phạm pháp luật năm 2025; Nghị định số 78/2025/NĐ-CP ngày 01/04/2025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Luật Tổ chức chính quyền địa phương năm 2025; </w:t>
      </w:r>
      <w:r w:rsidR="00E97FC1" w:rsidRPr="00F1583C">
        <w:rPr>
          <w:rFonts w:eastAsiaTheme="minorHAnsi"/>
        </w:rPr>
        <w:t>UBND thành phố</w:t>
      </w:r>
      <w:r w:rsidR="00C86127" w:rsidRPr="00F1583C">
        <w:rPr>
          <w:rFonts w:eastAsiaTheme="minorHAnsi"/>
        </w:rPr>
        <w:t xml:space="preserve"> kính trình</w:t>
      </w:r>
      <w:r w:rsidR="00E97FC1" w:rsidRPr="00F1583C">
        <w:rPr>
          <w:rFonts w:eastAsiaTheme="minorHAnsi"/>
        </w:rPr>
        <w:t xml:space="preserve"> HĐND thành phố dự thảo Nghị quyết quy định chính sách trợ cấp hàng tháng, trợ cấp một lần đối với một số người có công với cách mạng và thân nhân trên địa bàn thành phố Đà Nẵng</w:t>
      </w:r>
      <w:r w:rsidR="00C86127" w:rsidRPr="00F1583C">
        <w:rPr>
          <w:rFonts w:eastAsiaTheme="minorHAnsi"/>
        </w:rPr>
        <w:t>, c</w:t>
      </w:r>
      <w:r w:rsidR="00E97FC1" w:rsidRPr="00F1583C">
        <w:rPr>
          <w:rFonts w:eastAsiaTheme="minorHAnsi"/>
        </w:rPr>
        <w:t>ụ thể như sau:</w:t>
      </w:r>
    </w:p>
    <w:p w:rsidR="001F2E9A" w:rsidRPr="00F1583C" w:rsidRDefault="001F2E9A" w:rsidP="001F2E9A">
      <w:pPr>
        <w:numPr>
          <w:ilvl w:val="0"/>
          <w:numId w:val="1"/>
        </w:numPr>
        <w:spacing w:before="60" w:after="60"/>
        <w:ind w:left="851" w:hanging="284"/>
        <w:jc w:val="both"/>
        <w:rPr>
          <w:b/>
        </w:rPr>
      </w:pPr>
      <w:r w:rsidRPr="00F1583C">
        <w:rPr>
          <w:b/>
        </w:rPr>
        <w:t>SỰ CẦN THIẾT BAN HÀNH VĂN BẢN</w:t>
      </w:r>
    </w:p>
    <w:p w:rsidR="001F2E9A" w:rsidRPr="00F1583C" w:rsidRDefault="001F2E9A" w:rsidP="001F2E9A">
      <w:pPr>
        <w:numPr>
          <w:ilvl w:val="0"/>
          <w:numId w:val="2"/>
        </w:numPr>
        <w:spacing w:before="60" w:after="60"/>
        <w:ind w:left="851" w:hanging="284"/>
        <w:jc w:val="both"/>
        <w:rPr>
          <w:b/>
        </w:rPr>
      </w:pPr>
      <w:r w:rsidRPr="00F1583C">
        <w:rPr>
          <w:b/>
        </w:rPr>
        <w:t>Về cơ sở pháp lý</w:t>
      </w:r>
    </w:p>
    <w:p w:rsidR="001F2E9A" w:rsidRPr="00F1583C" w:rsidRDefault="001F2E9A" w:rsidP="001F2E9A">
      <w:pPr>
        <w:autoSpaceDE w:val="0"/>
        <w:autoSpaceDN w:val="0"/>
        <w:spacing w:before="60" w:after="60"/>
        <w:ind w:firstLine="567"/>
        <w:jc w:val="both"/>
        <w:rPr>
          <w:lang w:val="vi-VN"/>
        </w:rPr>
      </w:pPr>
      <w:r w:rsidRPr="00F1583C">
        <w:rPr>
          <w:lang w:val="vi-VN"/>
        </w:rPr>
        <w:t xml:space="preserve">a) Khoản 10, Điều 1 và khoản 2 Điều 2 Nghị quyết số 202/2025/QH15 ngày 12/6/2025 của Quốc hội về việc sắp xếp đơn vị hành chính cấp tỉnh quy định: </w:t>
      </w:r>
    </w:p>
    <w:p w:rsidR="001F2E9A" w:rsidRPr="00F1583C" w:rsidRDefault="001F2E9A" w:rsidP="001F2E9A">
      <w:pPr>
        <w:autoSpaceDE w:val="0"/>
        <w:autoSpaceDN w:val="0"/>
        <w:spacing w:before="60" w:after="60"/>
        <w:ind w:firstLine="567"/>
        <w:jc w:val="both"/>
        <w:rPr>
          <w:lang w:val="vi-VN"/>
        </w:rPr>
      </w:pPr>
      <w:r w:rsidRPr="00F1583C">
        <w:rPr>
          <w:lang w:val="vi-VN"/>
        </w:rPr>
        <w:t>- Sắp xếp toàn bộ diện tích tự nhiên, quy mô dân số của thành phố Đà Nẵng và tỉnh Quảng Nam thành thành phố mới có tên gọi là thành phố Đà Nẵng. Sau khi sắp xếp, thành phố Đà Nẵng có diện tích tự nhiên là 11.859,59 km</w:t>
      </w:r>
      <w:r w:rsidR="003751BB">
        <w:rPr>
          <w:vertAlign w:val="superscript"/>
        </w:rPr>
        <w:t>2</w:t>
      </w:r>
      <w:r w:rsidRPr="00F1583C">
        <w:rPr>
          <w:lang w:val="vi-VN"/>
        </w:rPr>
        <w:t xml:space="preserve"> , quy mô dân số là 3.065.628 người.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 </w:t>
      </w:r>
    </w:p>
    <w:p w:rsidR="001F2E9A" w:rsidRPr="00F1583C" w:rsidRDefault="001F2E9A" w:rsidP="001F2E9A">
      <w:pPr>
        <w:autoSpaceDE w:val="0"/>
        <w:autoSpaceDN w:val="0"/>
        <w:spacing w:before="60" w:after="60"/>
        <w:ind w:firstLine="567"/>
        <w:jc w:val="both"/>
        <w:rPr>
          <w:lang w:val="vi-VN"/>
        </w:rPr>
      </w:pPr>
      <w:r w:rsidRPr="00F1583C">
        <w:rPr>
          <w:lang w:val="vi-VN"/>
        </w:rPr>
        <w:t xml:space="preserve">b) Khoản 1, Điều 21 Luật Ban hành văn bản quy phạm pháp luật năm 2025 quy định: </w:t>
      </w:r>
    </w:p>
    <w:p w:rsidR="001F2E9A" w:rsidRPr="00F1583C" w:rsidRDefault="001F2E9A" w:rsidP="001F2E9A">
      <w:pPr>
        <w:autoSpaceDE w:val="0"/>
        <w:autoSpaceDN w:val="0"/>
        <w:spacing w:before="60" w:after="60"/>
        <w:ind w:firstLine="567"/>
        <w:jc w:val="both"/>
        <w:rPr>
          <w:lang w:val="vi-VN"/>
        </w:rPr>
      </w:pPr>
      <w:r w:rsidRPr="00F1583C">
        <w:rPr>
          <w:lang w:val="vi-VN"/>
        </w:rPr>
        <w:t xml:space="preserve">Hội đồng nhân dân cấp tỉnh ban hành nghị quyết để quy định: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Chi tiết điều, khoản, điểm và các nội dung khác được giao trong văn bản quy phạm pháp luật của cơ quan nhà nước cấp trên;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Chính sách, biện pháp nhằm đảm bảo thi hành Hiến pháp, luật, văn bản quy phạm pháp luật của cơ quan nhà nước cấp trên;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Biện pháp nhằm phát triển kinh tế - xã hội, ngân sách, quốc phòng, an ninh ở địa phương; biện pháp khác có tính chất đặc thù phù hợp với điều kiện </w:t>
      </w:r>
      <w:r w:rsidRPr="00F1583C">
        <w:rPr>
          <w:lang w:val="vi-VN"/>
        </w:rPr>
        <w:lastRenderedPageBreak/>
        <w:t xml:space="preserve">phát triển kinh tế - xã hội của địa phương; thực hiện nhiệm vụ, quyền hạn được phân cấp; </w:t>
      </w:r>
    </w:p>
    <w:p w:rsidR="001F2E9A" w:rsidRPr="00F1583C" w:rsidRDefault="001F2E9A" w:rsidP="001F2E9A">
      <w:pPr>
        <w:autoSpaceDE w:val="0"/>
        <w:autoSpaceDN w:val="0"/>
        <w:spacing w:before="60" w:after="60"/>
        <w:ind w:firstLine="567"/>
        <w:jc w:val="both"/>
        <w:rPr>
          <w:lang w:val="vi-VN"/>
        </w:rPr>
      </w:pPr>
      <w:r w:rsidRPr="00F1583C">
        <w:rPr>
          <w:lang w:val="vi-VN"/>
        </w:rPr>
        <w:t>- Thực hiện thí điểm các chính sách theo quy định của Luật tổ chức chính quyền địa phương.</w:t>
      </w:r>
    </w:p>
    <w:p w:rsidR="001F2E9A" w:rsidRPr="00F1583C" w:rsidRDefault="001F2E9A" w:rsidP="001F2E9A">
      <w:pPr>
        <w:autoSpaceDE w:val="0"/>
        <w:autoSpaceDN w:val="0"/>
        <w:spacing w:before="60" w:after="60"/>
        <w:ind w:firstLine="567"/>
        <w:jc w:val="both"/>
        <w:rPr>
          <w:lang w:val="vi-VN"/>
        </w:rPr>
      </w:pPr>
      <w:r w:rsidRPr="00F1583C">
        <w:rPr>
          <w:lang w:val="vi-VN"/>
        </w:rPr>
        <w:t xml:space="preserve">c) Điểm b khoản 1 và điểm đ khoản 2 Điều 50 Luật Ban hành văn bản quy phạm pháp luật năm 2025 quy định: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Việc xây dựng, ban hành văn bản quy phạm pháp luật được thực hiện theo trình tự, thủ tục rút gọn thuộc trường hợp sau đây: </w:t>
      </w:r>
    </w:p>
    <w:p w:rsidR="001F2E9A" w:rsidRPr="00F1583C" w:rsidRDefault="001F2E9A" w:rsidP="001F2E9A">
      <w:pPr>
        <w:autoSpaceDE w:val="0"/>
        <w:autoSpaceDN w:val="0"/>
        <w:spacing w:before="60" w:after="60"/>
        <w:ind w:firstLine="567"/>
        <w:jc w:val="both"/>
        <w:rPr>
          <w:lang w:val="vi-VN"/>
        </w:rPr>
      </w:pPr>
      <w:r w:rsidRPr="00F1583C">
        <w:rPr>
          <w:lang w:val="vi-VN"/>
        </w:rPr>
        <w:t>+ Trường hợp cấp bách để giải quyết vấn đề phát sinh trong thực tiễn;</w:t>
      </w:r>
    </w:p>
    <w:p w:rsidR="001F2E9A" w:rsidRPr="00F1583C" w:rsidRDefault="001F2E9A" w:rsidP="001F2E9A">
      <w:pPr>
        <w:autoSpaceDE w:val="0"/>
        <w:autoSpaceDN w:val="0"/>
        <w:spacing w:before="60" w:after="60"/>
        <w:ind w:firstLine="567"/>
        <w:jc w:val="both"/>
        <w:rPr>
          <w:lang w:val="vi-VN"/>
        </w:rPr>
      </w:pPr>
      <w:r w:rsidRPr="00F1583C">
        <w:rPr>
          <w:lang w:val="vi-VN"/>
        </w:rPr>
        <w:t xml:space="preserve">- Thẩm quyền quyết định việc xây dựng, ban hành văn bản quy phạm pháp luật theo trình tự, thủ tục rút gọn: </w:t>
      </w:r>
    </w:p>
    <w:p w:rsidR="001F2E9A" w:rsidRPr="00F1583C" w:rsidRDefault="001F2E9A" w:rsidP="001F2E9A">
      <w:pPr>
        <w:autoSpaceDE w:val="0"/>
        <w:autoSpaceDN w:val="0"/>
        <w:spacing w:before="60" w:after="60"/>
        <w:ind w:firstLine="567"/>
        <w:jc w:val="both"/>
        <w:rPr>
          <w:lang w:val="vi-VN"/>
        </w:rPr>
      </w:pPr>
      <w:r w:rsidRPr="00F1583C">
        <w:rPr>
          <w:lang w:val="vi-VN"/>
        </w:rPr>
        <w:t xml:space="preserve">+ Thường trực Hội đồng nhân dân theo đề nghị của cơ quan trình quyết định việc áp dụng trình tự, thủ tục rút gọn trong xây dựng, ban hành nghị quyết của </w:t>
      </w:r>
      <w:r w:rsidR="009340A7">
        <w:rPr>
          <w:lang w:val="vi-VN"/>
        </w:rPr>
        <w:t xml:space="preserve">Hội đồng nhân dân; Chủ tịch </w:t>
      </w:r>
      <w:r w:rsidR="009340A7">
        <w:t>Ủy</w:t>
      </w:r>
      <w:r w:rsidRPr="00F1583C">
        <w:rPr>
          <w:lang w:val="vi-VN"/>
        </w:rPr>
        <w:t xml:space="preserve"> ban nhân dân theo đề nghị của cơ quan chủ trì soạn thảo quyết định việc áp dụng trình tự, thủ tục rút gọn trong xây </w:t>
      </w:r>
      <w:r w:rsidR="00123CC7">
        <w:rPr>
          <w:lang w:val="vi-VN"/>
        </w:rPr>
        <w:t xml:space="preserve">dựng, ban hành quyết định của </w:t>
      </w:r>
      <w:r w:rsidR="00123CC7">
        <w:t>Ủy</w:t>
      </w:r>
      <w:r w:rsidRPr="00F1583C">
        <w:rPr>
          <w:lang w:val="vi-VN"/>
        </w:rPr>
        <w:t xml:space="preserve"> ban nhân dân.</w:t>
      </w:r>
    </w:p>
    <w:p w:rsidR="001F2E9A" w:rsidRDefault="001F2E9A" w:rsidP="001F2E9A">
      <w:pPr>
        <w:autoSpaceDE w:val="0"/>
        <w:autoSpaceDN w:val="0"/>
        <w:spacing w:before="60" w:after="60"/>
        <w:ind w:firstLine="567"/>
        <w:jc w:val="both"/>
      </w:pPr>
      <w:r w:rsidRPr="00F1583C">
        <w:rPr>
          <w:lang w:val="vi-VN"/>
        </w:rPr>
        <w:t>d) Khoản 2, Điều 11 Nghị quyết số 190/2025/QH15 ngày 19/02/2025 của Quốc hội quy định về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rsidR="000439CF" w:rsidRPr="00F1583C" w:rsidRDefault="000439CF" w:rsidP="000439CF">
      <w:pPr>
        <w:numPr>
          <w:ilvl w:val="0"/>
          <w:numId w:val="2"/>
        </w:numPr>
        <w:spacing w:before="60" w:after="60"/>
        <w:ind w:left="851" w:hanging="284"/>
        <w:jc w:val="both"/>
        <w:rPr>
          <w:b/>
        </w:rPr>
      </w:pPr>
      <w:r w:rsidRPr="00F1583C">
        <w:rPr>
          <w:b/>
        </w:rPr>
        <w:t>Về cơ sở thực tiễn</w:t>
      </w:r>
    </w:p>
    <w:p w:rsidR="00840F7B" w:rsidRPr="00840F7B" w:rsidRDefault="00840F7B" w:rsidP="00840F7B">
      <w:pPr>
        <w:spacing w:before="120"/>
        <w:ind w:firstLine="567"/>
        <w:jc w:val="both"/>
        <w:rPr>
          <w:rFonts w:eastAsiaTheme="minorHAnsi"/>
        </w:rPr>
      </w:pPr>
      <w:r w:rsidRPr="00840F7B">
        <w:rPr>
          <w:rFonts w:eastAsiaTheme="minorHAnsi"/>
        </w:rPr>
        <w:t>Hội đồng nhân dân thành phố Đà Nẵng (cũ) đã ban hành các Nghị quyết: (1) Nghị quyết số 86/2014/NQ-HĐND ngày 11/12/2014 về việc thông qua chính sách trợ cấp hàng tháng đối với người có công với cách mạng đang hưởng mức trợ cấp thấp; (2) Nghị quyết số 19/2016/NQ-HĐND ngày 11/8/2016 về việc quyết định chính sách trợ cấp thường xuyên, đột xuất đối với người có công với cách mạng mắc bệnh hiểm nghèo có hoàn cảnh khó khăn; (3) Nghị quyết số 102/2023/NQ-HĐND ngày 14/12/2023 về việc sửa đổi Nghị quyết số 19/2016/NQ-HĐND ngày 11/8/2016 của HĐND thành phố; (4) Nghị quyết số 245/2019/NQ-HĐND ngày 11/7/2019 quy định chính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tỉnh Quảng Nam chưa có quy định các chính sách này.</w:t>
      </w:r>
    </w:p>
    <w:p w:rsidR="000439CF" w:rsidRPr="00F1583C" w:rsidRDefault="00840F7B" w:rsidP="00840F7B">
      <w:pPr>
        <w:spacing w:before="120"/>
        <w:ind w:firstLine="567"/>
        <w:jc w:val="both"/>
        <w:rPr>
          <w:rFonts w:eastAsiaTheme="minorHAnsi"/>
        </w:rPr>
      </w:pPr>
      <w:r w:rsidRPr="00840F7B">
        <w:rPr>
          <w:rFonts w:eastAsiaTheme="minorHAnsi"/>
        </w:rPr>
        <w:t>Sau khi sáp nhập đơn vị hành chính cấp tỉnh, để đồng bộ về chế độ hỗ trợ giữa các địa phương, cần thiết phải ban hành Nghị quyết mới áp dụng chung trên địa bàn thành phố Đà Nẵng (mới): Nghị quyết quy định chính sách trợ cấp hàng tháng, trợ cấp một lần đối với một số người có công với cách mạng và thân nhân trên địa bàn thành phố Đà Nẵng trên cơ sở gộp 04 Nghị quyết nêu trên</w:t>
      </w:r>
      <w:r w:rsidR="000439CF" w:rsidRPr="00F1583C">
        <w:rPr>
          <w:rFonts w:eastAsiaTheme="minorHAnsi"/>
        </w:rPr>
        <w:t>.</w:t>
      </w:r>
    </w:p>
    <w:p w:rsidR="00840F7B" w:rsidRPr="00840F7B" w:rsidRDefault="00840F7B" w:rsidP="00840F7B">
      <w:pPr>
        <w:numPr>
          <w:ilvl w:val="0"/>
          <w:numId w:val="2"/>
        </w:numPr>
        <w:spacing w:before="60" w:after="60"/>
        <w:ind w:left="851" w:hanging="284"/>
        <w:jc w:val="both"/>
        <w:rPr>
          <w:b/>
        </w:rPr>
      </w:pPr>
      <w:r w:rsidRPr="00F1583C">
        <w:rPr>
          <w:b/>
        </w:rPr>
        <w:lastRenderedPageBreak/>
        <w:t>Sự cần thiết ban hành văn bản</w:t>
      </w:r>
    </w:p>
    <w:p w:rsidR="001F2E9A" w:rsidRPr="00F1583C" w:rsidRDefault="0047677B" w:rsidP="00E04721">
      <w:pPr>
        <w:spacing w:before="120"/>
        <w:ind w:firstLine="567"/>
        <w:jc w:val="both"/>
      </w:pPr>
      <w:r w:rsidRPr="0047677B">
        <w:t>Từ những cơ sở pháp lý, thực tiễn đã phân tích ở trên cho thấy việc trình Hội đồng nhân dân thành phố ban hành Nghị quyết quy định chính sách trợ cấp hàng tháng, trợ cấp một lần đối với một số người có công với cách mạng và thân nhân trên địa bàn thành phố Đà Nẵng là cần thiết</w:t>
      </w:r>
      <w:r w:rsidR="001F2E9A" w:rsidRPr="00F1583C">
        <w:t>.</w:t>
      </w:r>
    </w:p>
    <w:p w:rsidR="001F2E9A" w:rsidRPr="00080E7F" w:rsidRDefault="001F2E9A" w:rsidP="00080E7F">
      <w:pPr>
        <w:pStyle w:val="ListParagraph"/>
        <w:numPr>
          <w:ilvl w:val="0"/>
          <w:numId w:val="1"/>
        </w:numPr>
        <w:spacing w:before="60" w:after="60"/>
        <w:jc w:val="both"/>
        <w:rPr>
          <w:b/>
          <w:lang w:val="vi-VN"/>
        </w:rPr>
      </w:pPr>
      <w:r w:rsidRPr="00080E7F">
        <w:rPr>
          <w:b/>
          <w:lang w:val="vi-VN"/>
        </w:rPr>
        <w:t>MỤC ĐÍCH, QUAN ĐIỂM XÂY DỰNG VĂN BẢN</w:t>
      </w:r>
    </w:p>
    <w:p w:rsidR="001F2E9A" w:rsidRPr="00F1583C" w:rsidRDefault="001F2E9A" w:rsidP="001F2E9A">
      <w:pPr>
        <w:autoSpaceDE w:val="0"/>
        <w:autoSpaceDN w:val="0"/>
        <w:spacing w:before="120"/>
        <w:ind w:left="567"/>
      </w:pPr>
      <w:r w:rsidRPr="00F1583C">
        <w:rPr>
          <w:b/>
          <w:color w:val="000000"/>
        </w:rPr>
        <w:t>1. Mục đích</w:t>
      </w:r>
    </w:p>
    <w:p w:rsidR="001F2E9A" w:rsidRPr="002C1940" w:rsidRDefault="001E57E5" w:rsidP="001F2E9A">
      <w:pPr>
        <w:widowControl w:val="0"/>
        <w:spacing w:before="120"/>
        <w:ind w:firstLine="567"/>
        <w:jc w:val="both"/>
        <w:rPr>
          <w:spacing w:val="-2"/>
          <w:lang w:eastAsia="vi-VN"/>
        </w:rPr>
      </w:pPr>
      <w:r w:rsidRPr="001E57E5">
        <w:rPr>
          <w:spacing w:val="-2"/>
          <w:lang w:val="vi-VN" w:eastAsia="vi-VN"/>
        </w:rPr>
        <w:t>Việc xây dựng Nghị quyết quy định chính sách trợ cấp hàng tháng, trợ cấp một lần đối với một số người có công với cách mạng và thân nhân trên địa bàn thành phố Đà Nẵng nhằm cụ thể hóa chủ trương, chính sách của Đảng và Nhà nước đối với công tác “Đền ơn đáp nghĩa”, tri ân người có công và thân nhân người có công cách mạng; đồng thời, tạo sự thống nhất về chế độ, chính sách giữa các địa phương sau khi sáp nhập đơn vị hành chính cấp tỉnh</w:t>
      </w:r>
      <w:r w:rsidR="001F2E9A" w:rsidRPr="002C1940">
        <w:rPr>
          <w:spacing w:val="-2"/>
          <w:lang w:eastAsia="vi-VN"/>
        </w:rPr>
        <w:t>.</w:t>
      </w:r>
    </w:p>
    <w:p w:rsidR="001F2E9A" w:rsidRPr="00F1583C" w:rsidRDefault="001F2E9A" w:rsidP="001F2E9A">
      <w:pPr>
        <w:autoSpaceDE w:val="0"/>
        <w:autoSpaceDN w:val="0"/>
        <w:spacing w:before="120"/>
        <w:ind w:firstLine="567"/>
      </w:pPr>
      <w:r w:rsidRPr="00F1583C">
        <w:rPr>
          <w:b/>
          <w:color w:val="000000"/>
        </w:rPr>
        <w:t xml:space="preserve">2. Quan điểm </w:t>
      </w:r>
    </w:p>
    <w:p w:rsidR="001F2E9A" w:rsidRPr="00F1583C" w:rsidRDefault="001E57E5" w:rsidP="001F2E9A">
      <w:pPr>
        <w:autoSpaceDE w:val="0"/>
        <w:autoSpaceDN w:val="0"/>
        <w:spacing w:before="120"/>
        <w:ind w:right="20" w:firstLine="567"/>
        <w:jc w:val="both"/>
        <w:rPr>
          <w:color w:val="000000"/>
        </w:rPr>
      </w:pPr>
      <w:r w:rsidRPr="001E57E5">
        <w:rPr>
          <w:color w:val="000000"/>
        </w:rPr>
        <w:t>Đảm bảo sự phù hợp với quy định của Luật Ban hành văn bản quy phạm pháp luật năm 2025; Luật Tổ chức chính quyền địa phương năm 2025</w:t>
      </w:r>
      <w:r w:rsidR="001F2E9A" w:rsidRPr="00F1583C">
        <w:rPr>
          <w:color w:val="000000"/>
        </w:rPr>
        <w:t>.</w:t>
      </w:r>
    </w:p>
    <w:p w:rsidR="001F2E9A" w:rsidRPr="00F1583C" w:rsidRDefault="001F2E9A" w:rsidP="00EC4705">
      <w:pPr>
        <w:autoSpaceDE w:val="0"/>
        <w:autoSpaceDN w:val="0"/>
        <w:spacing w:before="120"/>
        <w:ind w:right="20" w:firstLine="567"/>
        <w:jc w:val="both"/>
        <w:rPr>
          <w:b/>
          <w:color w:val="000000"/>
        </w:rPr>
      </w:pPr>
      <w:r w:rsidRPr="00F1583C">
        <w:rPr>
          <w:b/>
          <w:color w:val="000000"/>
        </w:rPr>
        <w:t>III. QUÁ TRÌNH XÂY DỰNG DỰ THẢO VĂN BẢN</w:t>
      </w:r>
    </w:p>
    <w:p w:rsidR="001E57E5" w:rsidRDefault="001E57E5" w:rsidP="001E57E5">
      <w:pPr>
        <w:spacing w:before="120"/>
        <w:ind w:firstLine="567"/>
        <w:jc w:val="both"/>
      </w:pPr>
      <w:r>
        <w:t xml:space="preserve">Căn cứ quy trình rà soát, ban hành văn bản quy phạm pháp luật tại Nghị định số 78/2025/NĐ-CP ngày 01/4/2025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Sở Nội vụ đã thực hiện rà soát các Nghị quyết: Nghị quyết số 86/2014/NQ-HĐND ngày 11/12/2014 về việc thông qua chính sách trợ cấp hàng tháng đối với người có công với cách mạng đang hưởng mức trợ cấp thấp; Nghị quyết số 19/2016/NQ-HĐND ngày 11/8/2016 về việc quyết định chính sách trợ cấp thường xuyên, đột xuất đối với người có công với cách mạng mắc bệnh hiểm nghèo có hoàn cảnh khó khăn, Nghị quyết số 102/2023/NQ-HĐND ngày 14/12/2023 về việc sửa đổi Nghị quyết số 19/2016/NQ-HĐND ngày 11/8/2016 của HĐND thành phố; Nghị quyết số 245/2019/NQ-HĐND ngày 11/7/2019 quy định chính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và có Công văn số 1390/SNV-NCC ngày 15/8/2025 gửi lấy ý kiến thẩm định của Sở Tư pháp. Ngày 29/8/2025, Sở Tư pháp có các Công văn số 1051/STP-XDKTVB, 1052/ STP-XDKTVB, 1053/ STP-XDKTVB góp ý kết quả rà soát. Sở Nội vụ đã hoàn chỉnh nội dung Phiếu rà soát trên cơ sở tiếp thu ý kiến thẩm tra của Sở Tư pháp; Đồng thời, Sở Nội vụ có Công văn số 2071/SNV-NCC ngày 05/9/2025 lấy ý kiến Ban Pháp chế Hội đồng nhân dân thành phố. Ngày 09/9/2025, Ban Pháp chế Hội đồng nhân dân thành </w:t>
      </w:r>
      <w:r>
        <w:lastRenderedPageBreak/>
        <w:t>phố có Công văn số 65/HĐND-PC thống nhất với kết quả rà soát và đề xuất xử lý kết quả rà soát của Sở Nội vụ.</w:t>
      </w:r>
    </w:p>
    <w:p w:rsidR="001E57E5" w:rsidRDefault="001E57E5" w:rsidP="001E57E5">
      <w:pPr>
        <w:spacing w:before="120"/>
        <w:ind w:firstLine="567"/>
        <w:jc w:val="both"/>
      </w:pPr>
      <w:r>
        <w:t xml:space="preserve">Ngày 11/9/2025, Sở Nội vụ có Tờ trình số 2291/TTr-SNV trình UBND thành phố đề nghị đăng ký xây dựng Nghị quyết quy định chính sách trợ cấp hàng tháng, trợ cấp một lần đối với một số người có công với cách mạng và thân nhân trên địa bàn thành phố Đà Nẵng theo trình tự, thủ tục rút gọn. </w:t>
      </w:r>
    </w:p>
    <w:p w:rsidR="00080E7F" w:rsidRDefault="001E57E5" w:rsidP="00080E7F">
      <w:pPr>
        <w:spacing w:before="120" w:after="120"/>
        <w:ind w:firstLine="567"/>
        <w:jc w:val="both"/>
      </w:pPr>
      <w:r>
        <w:t>Ngày 06/10/2025, UBND thành phố có Tờ trình số 107/TTr-UBND trình Thường trực HĐND thành phố về đăng ký xây dựng Nghị quyết quy định chính sách trợ cấp hằng tháng, trợ cấp một lần đối với một số người có công với cách mạng và thân nhân trên địa bàn thành phố Đà Nẵng theo trình tự, thủ tục rút gọn. Ngày 14/10/2025, Thường trực Hội đồng nhân dân thành phố có Công văn số 165/HĐND-VHXH thông báo ý kiến của Thường trực HĐND thành phố đối với Tờ trình số 107/TTr-UBND ngày 06/10/2025 của UBND thành phố. Theo đó, Thường trực Hội đồng nhân dân thành phố thống nhất đề nghị xây dựng Nghị quyết quy định chính sách trợ cấp hàng tháng, trợ cấp một lần đối với một số người có công với cách mạng và thân nhân trên địa bàn thành phố Đà Nẵng theo trình tự, thủ tục rút gọn</w:t>
      </w:r>
      <w:r w:rsidR="00A020E7">
        <w:rPr>
          <w:color w:val="000000"/>
        </w:rPr>
        <w:t>.</w:t>
      </w:r>
      <w:r w:rsidR="00080E7F">
        <w:rPr>
          <w:color w:val="000000"/>
        </w:rPr>
        <w:t xml:space="preserve"> </w:t>
      </w:r>
      <w:r w:rsidR="00A020E7">
        <w:t>T</w:t>
      </w:r>
      <w:r w:rsidR="00080E7F" w:rsidRPr="00080E7F">
        <w:t>rong đó, Thường trực HĐND thành phố yêu cầu rà soát, đánh giá tác động các chính sách của thành phố Đà Nẵng (cũ) và tỉnh Quảng Nam (cũ) về hỗ trợ đối với người có công với cách mạng và thân nhân để tổng hợp đầy đủ, không bỏ sót đối tượng, trùng lắp về chính sách…</w:t>
      </w:r>
    </w:p>
    <w:p w:rsidR="00A020E7" w:rsidRPr="00A020E7" w:rsidRDefault="00A020E7" w:rsidP="00A020E7">
      <w:pPr>
        <w:spacing w:before="120" w:after="120"/>
        <w:ind w:firstLine="567"/>
        <w:jc w:val="both"/>
        <w:rPr>
          <w:b/>
        </w:rPr>
      </w:pPr>
      <w:r w:rsidRPr="00A020E7">
        <w:rPr>
          <w:b/>
        </w:rPr>
        <w:t>IV. ĐÁNH GIÁ TÁC ĐỘNG</w:t>
      </w:r>
    </w:p>
    <w:p w:rsidR="00A020E7" w:rsidRPr="00A020E7" w:rsidRDefault="00A020E7" w:rsidP="00A020E7">
      <w:pPr>
        <w:snapToGrid w:val="0"/>
        <w:spacing w:before="120" w:after="120"/>
        <w:ind w:firstLine="567"/>
        <w:jc w:val="both"/>
      </w:pPr>
      <w:r w:rsidRPr="00A020E7">
        <w:t>Trong những năm qua, Đảng bộ, chính quyền và nhân dân thành phố Đà Nẵng luôn chăm lo đến đời sống của Người có công với cách mạng và thân nhân, ngoài việc thực hiện các chính sách theo quy định của Trung ương. Thành phố Đà Nẵng đã ban hành một số chính sách hỗ trợ đặc thù nhằm nâng cao mức sống đối với người có công với cách mạng, như: Chính sách trợ cấp hàng tháng đối với người có công với cách mạng đang hưởng mức trợ cấp thấp; chính sách trợ cấp thường xuyên, đột xuất đối với người có công với cách mạng mắc bệnh hiểm nghèo có hoàn cảnh khó khăn, chính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Tỉnh Quảng Nam chưa có các chính sách này.</w:t>
      </w:r>
    </w:p>
    <w:p w:rsidR="00A020E7" w:rsidRPr="00A020E7" w:rsidRDefault="00A020E7" w:rsidP="00A020E7">
      <w:pPr>
        <w:snapToGrid w:val="0"/>
        <w:spacing w:before="120" w:after="120"/>
        <w:ind w:firstLine="720"/>
        <w:jc w:val="both"/>
        <w:rPr>
          <w:color w:val="000000"/>
          <w:lang w:eastAsia="vi-VN"/>
        </w:rPr>
      </w:pPr>
      <w:r w:rsidRPr="00A020E7">
        <w:rPr>
          <w:rFonts w:eastAsia="Courier New"/>
          <w:color w:val="000000"/>
          <w:lang w:eastAsia="vi-VN"/>
        </w:rPr>
        <w:t>N</w:t>
      </w:r>
      <w:r w:rsidRPr="00A020E7">
        <w:rPr>
          <w:rFonts w:eastAsia="Courier New"/>
          <w:color w:val="000000"/>
          <w:lang w:val="vi-VN" w:eastAsia="vi-VN"/>
        </w:rPr>
        <w:t>gày 12/6/2025</w:t>
      </w:r>
      <w:r w:rsidRPr="00A020E7">
        <w:rPr>
          <w:rFonts w:eastAsia="Courier New"/>
          <w:color w:val="000000"/>
          <w:lang w:eastAsia="vi-VN"/>
        </w:rPr>
        <w:t xml:space="preserve">, Quốc hội ban hành </w:t>
      </w:r>
      <w:r w:rsidRPr="00A020E7">
        <w:rPr>
          <w:rFonts w:eastAsia="Courier New"/>
          <w:color w:val="000000"/>
          <w:lang w:val="vi-VN" w:eastAsia="vi-VN"/>
        </w:rPr>
        <w:t>Nghị quyết số 202/2025/QH15 ngày 12/6/2025</w:t>
      </w:r>
      <w:r w:rsidRPr="00A020E7">
        <w:rPr>
          <w:rFonts w:eastAsia="Courier New"/>
          <w:color w:val="000000"/>
          <w:shd w:val="clear" w:color="auto" w:fill="FFFFFF"/>
          <w:lang w:val="vi-VN" w:eastAsia="vi-VN"/>
        </w:rPr>
        <w:t xml:space="preserve"> về việc sắp xếp đơn vị hành chính cấp tỉnh, sắp xếp toàn bộ diện tích tự nhiên, quy mô dân số của </w:t>
      </w:r>
      <w:r w:rsidRPr="00A020E7">
        <w:rPr>
          <w:rFonts w:eastAsia="Courier New"/>
          <w:color w:val="000000"/>
          <w:shd w:val="clear" w:color="auto" w:fill="FFFFFF"/>
          <w:lang w:eastAsia="vi-VN"/>
        </w:rPr>
        <w:t>thành phố</w:t>
      </w:r>
      <w:r w:rsidRPr="00A020E7">
        <w:rPr>
          <w:rFonts w:eastAsia="Courier New"/>
          <w:color w:val="000000"/>
          <w:shd w:val="clear" w:color="auto" w:fill="FFFFFF"/>
          <w:lang w:val="vi-VN" w:eastAsia="vi-VN"/>
        </w:rPr>
        <w:t xml:space="preserve"> Đà Nẵng và tỉnh Quảng Nam thành thành phố mới có tên gọi là </w:t>
      </w:r>
      <w:r w:rsidRPr="00A020E7">
        <w:rPr>
          <w:rFonts w:eastAsia="Courier New"/>
          <w:color w:val="000000"/>
          <w:shd w:val="clear" w:color="auto" w:fill="FFFFFF"/>
          <w:lang w:eastAsia="vi-VN"/>
        </w:rPr>
        <w:t xml:space="preserve">thành phố </w:t>
      </w:r>
      <w:r w:rsidRPr="00A020E7">
        <w:rPr>
          <w:rFonts w:eastAsia="Courier New"/>
          <w:color w:val="000000"/>
          <w:shd w:val="clear" w:color="auto" w:fill="FFFFFF"/>
          <w:lang w:val="vi-VN" w:eastAsia="vi-VN"/>
        </w:rPr>
        <w:t>Đà Nẵng</w:t>
      </w:r>
      <w:r w:rsidRPr="00A020E7">
        <w:rPr>
          <w:rFonts w:eastAsia="Courier New"/>
          <w:color w:val="000000"/>
          <w:shd w:val="clear" w:color="auto" w:fill="FFFFFF"/>
          <w:lang w:eastAsia="vi-VN"/>
        </w:rPr>
        <w:t xml:space="preserve"> từ ngày 01/7/2025</w:t>
      </w:r>
      <w:r w:rsidRPr="00A020E7">
        <w:rPr>
          <w:rFonts w:eastAsia="Courier New"/>
          <w:color w:val="000000"/>
          <w:shd w:val="clear" w:color="auto" w:fill="FFFFFF"/>
          <w:lang w:val="vi-VN" w:eastAsia="vi-VN"/>
        </w:rPr>
        <w:t>.</w:t>
      </w:r>
      <w:r w:rsidRPr="00A020E7">
        <w:rPr>
          <w:rFonts w:eastAsia="Courier New"/>
          <w:color w:val="000000"/>
          <w:shd w:val="clear" w:color="auto" w:fill="FFFFFF"/>
          <w:lang w:eastAsia="vi-VN"/>
        </w:rPr>
        <w:t xml:space="preserve"> </w:t>
      </w:r>
    </w:p>
    <w:p w:rsidR="00A020E7" w:rsidRPr="00A020E7" w:rsidRDefault="00A020E7" w:rsidP="00A020E7">
      <w:pPr>
        <w:widowControl w:val="0"/>
        <w:snapToGrid w:val="0"/>
        <w:spacing w:before="120" w:after="120"/>
        <w:ind w:firstLine="720"/>
        <w:jc w:val="both"/>
        <w:rPr>
          <w:rFonts w:eastAsia="Courier New"/>
          <w:color w:val="000000"/>
          <w:shd w:val="clear" w:color="auto" w:fill="FFFFFF"/>
          <w:lang w:eastAsia="vi-VN"/>
        </w:rPr>
      </w:pPr>
      <w:r w:rsidRPr="00A020E7">
        <w:rPr>
          <w:rFonts w:eastAsia="Courier New"/>
          <w:color w:val="000000"/>
          <w:shd w:val="clear" w:color="auto" w:fill="FFFFFF"/>
          <w:lang w:eastAsia="vi-VN"/>
        </w:rPr>
        <w:t>Theo thống kê sơ bộ, thành phố Đà Nẵng (mới)</w:t>
      </w:r>
      <w:r w:rsidRPr="00A020E7">
        <w:rPr>
          <w:color w:val="000000"/>
          <w:lang w:eastAsia="vi-VN"/>
        </w:rPr>
        <w:t>, h</w:t>
      </w:r>
      <w:r w:rsidRPr="00A020E7">
        <w:rPr>
          <w:rFonts w:eastAsia="Courier New"/>
          <w:color w:val="000000"/>
          <w:shd w:val="clear" w:color="auto" w:fill="FFFFFF"/>
          <w:lang w:eastAsia="vi-VN"/>
        </w:rPr>
        <w:t>iện nay có trên 83.000 liệ</w:t>
      </w:r>
      <w:r w:rsidR="006E158F">
        <w:rPr>
          <w:rFonts w:eastAsia="Courier New"/>
          <w:color w:val="000000"/>
          <w:shd w:val="clear" w:color="auto" w:fill="FFFFFF"/>
          <w:lang w:eastAsia="vi-VN"/>
        </w:rPr>
        <w:t>t sĩ, 18.</w:t>
      </w:r>
      <w:r>
        <w:rPr>
          <w:rFonts w:eastAsia="Courier New"/>
          <w:color w:val="000000"/>
          <w:shd w:val="clear" w:color="auto" w:fill="FFFFFF"/>
          <w:lang w:eastAsia="vi-VN"/>
        </w:rPr>
        <w:t>8</w:t>
      </w:r>
      <w:r w:rsidR="006E158F">
        <w:rPr>
          <w:rFonts w:eastAsia="Courier New"/>
          <w:color w:val="000000"/>
          <w:shd w:val="clear" w:color="auto" w:fill="FFFFFF"/>
          <w:lang w:eastAsia="vi-VN"/>
        </w:rPr>
        <w:t>44</w:t>
      </w:r>
      <w:r w:rsidR="008333D7">
        <w:rPr>
          <w:rFonts w:eastAsia="Courier New"/>
          <w:color w:val="000000"/>
          <w:shd w:val="clear" w:color="auto" w:fill="FFFFFF"/>
          <w:lang w:eastAsia="vi-VN"/>
        </w:rPr>
        <w:t xml:space="preserve"> </w:t>
      </w:r>
      <w:r w:rsidRPr="00A020E7">
        <w:rPr>
          <w:rFonts w:eastAsia="Courier New"/>
          <w:color w:val="000000"/>
          <w:shd w:val="clear" w:color="auto" w:fill="FFFFFF"/>
          <w:lang w:eastAsia="vi-VN"/>
        </w:rPr>
        <w:t xml:space="preserve">Bà mẹ Việt Nam anh hùng, trên 2.300 cán bộ lão thành cách mạng, tiền khởi nghĩa, 412 Anh hùng lực lượng vũ trang nhân dân, trên 35.000 thương binh và người hưởng chính sách như thương binh, 10.035 bệnh binh, trên 18.758 người hoạt động cách mạng, hoạt động kháng chiến bị địch bắt tù, đày, trên 100.000 người tham gia kháng chiến, có công giúp đỡ cách mạng được tặng </w:t>
      </w:r>
      <w:r w:rsidRPr="00A020E7">
        <w:rPr>
          <w:rFonts w:eastAsia="Courier New"/>
          <w:color w:val="000000"/>
          <w:shd w:val="clear" w:color="auto" w:fill="FFFFFF"/>
          <w:lang w:eastAsia="vi-VN"/>
        </w:rPr>
        <w:lastRenderedPageBreak/>
        <w:t xml:space="preserve">Huân, Huy chương và gần 9.000 người hoạt động kháng chiến bị nhiễm chất độc hoá học…Hiện nay, toàn thành phố có </w:t>
      </w:r>
      <w:r w:rsidRPr="00A020E7">
        <w:rPr>
          <w:rFonts w:eastAsia="Courier New"/>
          <w:b/>
          <w:bCs/>
          <w:color w:val="000000"/>
          <w:shd w:val="clear" w:color="auto" w:fill="FFFFFF"/>
          <w:lang w:eastAsia="vi-VN"/>
        </w:rPr>
        <w:t>58.793</w:t>
      </w:r>
      <w:r w:rsidRPr="00A020E7">
        <w:rPr>
          <w:rFonts w:eastAsia="Courier New"/>
          <w:color w:val="000000"/>
          <w:shd w:val="clear" w:color="auto" w:fill="FFFFFF"/>
          <w:lang w:eastAsia="vi-VN"/>
        </w:rPr>
        <w:t xml:space="preserve"> lượt đối tượng hưởng trợ cấp hàng tháng, với tổng kinh phí  </w:t>
      </w:r>
      <w:r w:rsidRPr="00A020E7">
        <w:rPr>
          <w:rFonts w:eastAsia="Courier New"/>
          <w:b/>
          <w:bCs/>
          <w:color w:val="000000"/>
          <w:shd w:val="clear" w:color="auto" w:fill="FFFFFF"/>
          <w:lang w:eastAsia="vi-VN"/>
        </w:rPr>
        <w:t>2.044.902.948.792</w:t>
      </w:r>
      <w:r w:rsidRPr="00A020E7">
        <w:rPr>
          <w:rFonts w:eastAsia="Courier New"/>
          <w:color w:val="000000"/>
          <w:shd w:val="clear" w:color="auto" w:fill="FFFFFF"/>
          <w:lang w:eastAsia="vi-VN"/>
        </w:rPr>
        <w:t xml:space="preserve"> đồng/năm từ nguồn kinh phí Trung ương.</w:t>
      </w:r>
    </w:p>
    <w:p w:rsidR="00A020E7" w:rsidRPr="00A020E7" w:rsidRDefault="00A020E7" w:rsidP="00A020E7">
      <w:pPr>
        <w:widowControl w:val="0"/>
        <w:jc w:val="both"/>
        <w:rPr>
          <w:color w:val="000000"/>
          <w:lang w:eastAsia="vi-VN"/>
        </w:rPr>
      </w:pPr>
      <w:r w:rsidRPr="00A020E7">
        <w:rPr>
          <w:color w:val="000000"/>
          <w:lang w:eastAsia="vi-VN"/>
        </w:rPr>
        <w:t xml:space="preserve"> </w:t>
      </w:r>
      <w:r w:rsidRPr="00A020E7">
        <w:rPr>
          <w:color w:val="000000"/>
          <w:lang w:eastAsia="vi-VN"/>
        </w:rPr>
        <w:tab/>
        <w:t xml:space="preserve">Để đồng bộ chính sách hỗ trợ đặc thù của thành phố và tạo sự công bằng đối với người có công và thân nhân. Sở Nội vụ nhận thấy </w:t>
      </w:r>
      <w:r w:rsidRPr="00A020E7">
        <w:t>chính sách trợ cấp hàng tháng, trợ cấp một lần đối với một số người có công với cách mạng và thân nhân trên địa bàn thành phố Đà Nẵng</w:t>
      </w:r>
      <w:r w:rsidRPr="00A020E7">
        <w:rPr>
          <w:b/>
          <w:spacing w:val="-6"/>
        </w:rPr>
        <w:t xml:space="preserve"> </w:t>
      </w:r>
      <w:r w:rsidRPr="00A020E7">
        <w:rPr>
          <w:color w:val="000000"/>
          <w:lang w:eastAsia="vi-VN"/>
        </w:rPr>
        <w:t>là chính sách góp phần chăm lo tốt hơn cho đời sống vật chất và tinh thần của người có công với cách mạng</w:t>
      </w:r>
      <w:r w:rsidRPr="00A020E7">
        <w:rPr>
          <w:color w:val="000000"/>
          <w:lang w:val="vi-VN" w:eastAsia="vi-VN"/>
        </w:rPr>
        <w:t xml:space="preserve"> và </w:t>
      </w:r>
      <w:r w:rsidRPr="00A020E7">
        <w:rPr>
          <w:color w:val="000000"/>
          <w:lang w:eastAsia="vi-VN"/>
        </w:rPr>
        <w:t xml:space="preserve">nhằm </w:t>
      </w:r>
      <w:r w:rsidRPr="00A020E7">
        <w:rPr>
          <w:color w:val="000000"/>
          <w:lang w:val="vi-VN" w:eastAsia="vi-VN"/>
        </w:rPr>
        <w:t>đạt được mục tiêu bảo đảm mức sống của người có công với cách mạng bằng hoặc cao hơn mức trung bình của cộng đồng dân cư nơi cư trú theo quy định của Pháp lệnh Ưu đãi người có công với cách mạng và tinh thần Chỉ thị số 14-CT/TW ngày 19/7/2017 của Ban Bí thư Trung ương Đảng, đồng thời đảm bảo chính sách an sinh xã hội của thành phố</w:t>
      </w:r>
      <w:r w:rsidRPr="00A020E7">
        <w:rPr>
          <w:color w:val="000000"/>
          <w:lang w:eastAsia="vi-VN"/>
        </w:rPr>
        <w:t xml:space="preserve">. </w:t>
      </w:r>
    </w:p>
    <w:p w:rsidR="00A020E7" w:rsidRPr="00A020E7" w:rsidRDefault="00A020E7" w:rsidP="00A020E7">
      <w:pPr>
        <w:widowControl w:val="0"/>
        <w:jc w:val="both"/>
        <w:rPr>
          <w:sz w:val="10"/>
        </w:rPr>
      </w:pPr>
    </w:p>
    <w:p w:rsidR="00C513C2" w:rsidRPr="00C513C2" w:rsidRDefault="00A020E7" w:rsidP="00C513C2">
      <w:pPr>
        <w:widowControl w:val="0"/>
        <w:ind w:firstLine="720"/>
        <w:jc w:val="both"/>
        <w:rPr>
          <w:color w:val="000000"/>
          <w:lang w:val="pt-BR"/>
        </w:rPr>
      </w:pPr>
      <w:r w:rsidRPr="00A020E7">
        <w:t>Chính sách trợ cấp hàng tháng, trợ cấp một lần đối với một số người có công với cách mạng và thân nhân trên địa bàn thành phố Đà Nẵng</w:t>
      </w:r>
      <w:r w:rsidRPr="00A020E7">
        <w:rPr>
          <w:spacing w:val="-6"/>
        </w:rPr>
        <w:t xml:space="preserve"> </w:t>
      </w:r>
      <w:r w:rsidRPr="00A020E7">
        <w:rPr>
          <w:rFonts w:eastAsia="Courier New"/>
          <w:color w:val="000000"/>
          <w:lang w:val="pt-BR" w:eastAsia="vi-VN"/>
        </w:rPr>
        <w:t>thể hiện sự tri ân của Đảng và Nhà nước đối với những người đã cống hiến, hy sinh vì sự nghiệp giải phóng dân tộc, thống nhất đất nước. Đồng thời khích lệ tinh thần “sống vui, sống khỏe”, kéo dài tuổi thọ của người có công với cách mạng.</w:t>
      </w:r>
      <w:r w:rsidRPr="00A020E7">
        <w:rPr>
          <w:b/>
        </w:rPr>
        <w:t xml:space="preserve"> </w:t>
      </w:r>
      <w:r w:rsidRPr="00A020E7">
        <w:rPr>
          <w:rFonts w:eastAsia="Courier New"/>
          <w:color w:val="000000"/>
          <w:lang w:val="vi-VN" w:eastAsia="vi-VN"/>
        </w:rPr>
        <w:t>Người có công với cách mạng là những người đã cống hiến, hy sinh vì sự nghiệp giải phóng dân tộc, thống nhất đất nướ</w:t>
      </w:r>
      <w:r w:rsidRPr="00A020E7">
        <w:rPr>
          <w:rFonts w:eastAsia="Courier New"/>
          <w:color w:val="000000"/>
          <w:lang w:eastAsia="vi-VN"/>
        </w:rPr>
        <w:t>c. Do đó, cần t</w:t>
      </w:r>
      <w:r w:rsidRPr="00A020E7">
        <w:rPr>
          <w:color w:val="000000"/>
          <w:lang w:eastAsia="vi-VN"/>
        </w:rPr>
        <w:t>iếp tục triển khai thực hiện chính sách này trên địa bàn thành phố Đà Nẵng (mới</w:t>
      </w:r>
      <w:r w:rsidR="00C513C2">
        <w:rPr>
          <w:color w:val="000000"/>
          <w:lang w:eastAsia="vi-VN"/>
        </w:rPr>
        <w:t>).</w:t>
      </w:r>
      <w:r w:rsidR="00C513C2" w:rsidRPr="00C513C2">
        <w:rPr>
          <w:color w:val="000000"/>
          <w:lang w:eastAsia="vi-VN"/>
        </w:rPr>
        <w:t xml:space="preserve"> Nếu </w:t>
      </w:r>
      <w:r w:rsidR="00C513C2" w:rsidRPr="00C513C2">
        <w:rPr>
          <w:rFonts w:eastAsia="Courier New"/>
          <w:color w:val="000000"/>
          <w:lang w:eastAsia="vi-VN"/>
        </w:rPr>
        <w:t xml:space="preserve">chính sách này không được tiếp tục thực hiện, người có công và thân nhân người có công, đặc biệt là người có công ở địa bàn Đà Nẵng (cũ) sẽ có </w:t>
      </w:r>
      <w:r w:rsidR="00C513C2" w:rsidRPr="00C513C2">
        <w:rPr>
          <w:color w:val="000000"/>
          <w:lang w:val="pt-BR"/>
        </w:rPr>
        <w:t xml:space="preserve">những ý kiến trái chiều, phản ứng tiêu cực về mặt tâm lý xã hội. </w:t>
      </w:r>
    </w:p>
    <w:p w:rsidR="00A020E7" w:rsidRPr="00A020E7" w:rsidRDefault="00A020E7" w:rsidP="00A020E7">
      <w:pPr>
        <w:widowControl w:val="0"/>
        <w:ind w:firstLine="720"/>
        <w:jc w:val="both"/>
        <w:rPr>
          <w:color w:val="000000"/>
          <w:sz w:val="4"/>
          <w:lang w:val="pt-BR"/>
        </w:rPr>
      </w:pPr>
    </w:p>
    <w:p w:rsidR="00A020E7" w:rsidRPr="00A020E7" w:rsidRDefault="00A020E7" w:rsidP="00A020E7">
      <w:pPr>
        <w:widowControl w:val="0"/>
        <w:ind w:firstLine="720"/>
        <w:jc w:val="both"/>
        <w:rPr>
          <w:color w:val="000000"/>
          <w:sz w:val="6"/>
          <w:lang w:val="pt-BR"/>
        </w:rPr>
      </w:pPr>
    </w:p>
    <w:p w:rsidR="00A020E7" w:rsidRPr="00A020E7" w:rsidRDefault="00A020E7" w:rsidP="00A020E7">
      <w:pPr>
        <w:widowControl w:val="0"/>
        <w:ind w:firstLine="567"/>
        <w:jc w:val="both"/>
        <w:rPr>
          <w:lang w:eastAsia="vi-VN"/>
        </w:rPr>
      </w:pPr>
      <w:r w:rsidRPr="00A020E7">
        <w:rPr>
          <w:color w:val="000000"/>
          <w:lang w:val="pt-BR"/>
        </w:rPr>
        <w:t>Bên cạnh đó, hiện nay, số lượng người có công của tỉnh Quảng Nam (cũ) gấp 3 lần số lượng người có công của thành phố Đà Nẵng, do đó kinh phí thực hiện chính sách khá lớn; dự kiến</w:t>
      </w:r>
      <w:r w:rsidRPr="00A020E7">
        <w:rPr>
          <w:b/>
        </w:rPr>
        <w:t xml:space="preserve"> </w:t>
      </w:r>
      <w:r w:rsidRPr="00A020E7">
        <w:rPr>
          <w:lang w:eastAsia="vi-VN"/>
        </w:rPr>
        <w:t>kinh phí thực hiện đối với chính sách trợ cấp thường xuyên: dự kiến 231.296.800.000 đồng/năm</w:t>
      </w:r>
      <w:r w:rsidRPr="00A020E7">
        <w:t>;</w:t>
      </w:r>
      <w:r w:rsidRPr="00A020E7">
        <w:rPr>
          <w:b/>
        </w:rPr>
        <w:t xml:space="preserve"> </w:t>
      </w:r>
      <w:r w:rsidRPr="00A020E7">
        <w:rPr>
          <w:lang w:eastAsia="vi-VN"/>
        </w:rPr>
        <w:t>kinh phí thực hiện Đối với chính sách trợ cấp một lần: 6.222.000.000 đồng/năm</w:t>
      </w:r>
      <w:r w:rsidRPr="00A020E7">
        <w:t xml:space="preserve">. </w:t>
      </w:r>
      <w:r w:rsidRPr="00A020E7">
        <w:rPr>
          <w:lang w:eastAsia="vi-VN"/>
        </w:rPr>
        <w:t xml:space="preserve">Tổng kinh phí dự kiến thực hiện: 237.518.800.000 đồng/năm </w:t>
      </w:r>
      <w:r w:rsidRPr="00A020E7">
        <w:rPr>
          <w:i/>
          <w:lang w:eastAsia="vi-VN"/>
        </w:rPr>
        <w:t xml:space="preserve">(Hai trăm ba mươi bảy tỷ, năm trăm mười tám triệu tám trăm nghìn đồng). </w:t>
      </w:r>
      <w:r w:rsidRPr="00A020E7">
        <w:rPr>
          <w:lang w:eastAsia="vi-VN"/>
        </w:rPr>
        <w:t>Để triển khai thực hiện có hiệu quả chính sách này, cần có sự huy động nguồn lực của cả hệ thống chính trị trên cơ sở  khả năng cân đối nguồn ngân sách địa phương.</w:t>
      </w:r>
    </w:p>
    <w:p w:rsidR="00A020E7" w:rsidRPr="00A020E7" w:rsidRDefault="00A020E7" w:rsidP="00A020E7">
      <w:pPr>
        <w:widowControl w:val="0"/>
        <w:ind w:firstLine="567"/>
        <w:jc w:val="both"/>
        <w:rPr>
          <w:sz w:val="18"/>
          <w:lang w:eastAsia="vi-VN"/>
        </w:rPr>
      </w:pPr>
    </w:p>
    <w:p w:rsidR="00A020E7" w:rsidRDefault="006E158F" w:rsidP="00A020E7">
      <w:pPr>
        <w:widowControl w:val="0"/>
        <w:ind w:firstLine="567"/>
        <w:jc w:val="both"/>
        <w:rPr>
          <w:rFonts w:eastAsia="Courier New"/>
          <w:color w:val="000000"/>
          <w:lang w:val="pt-BR" w:eastAsia="vi-VN"/>
        </w:rPr>
      </w:pPr>
      <w:r>
        <w:rPr>
          <w:color w:val="000000"/>
          <w:lang w:eastAsia="vi-VN"/>
        </w:rPr>
        <w:t>Từ những lý do trên, UBND thành phố</w:t>
      </w:r>
      <w:r w:rsidR="00A020E7" w:rsidRPr="00A020E7">
        <w:rPr>
          <w:color w:val="000000"/>
          <w:lang w:eastAsia="vi-VN"/>
        </w:rPr>
        <w:t xml:space="preserve"> đề xuất tiếp tục triển khai thực hiện chính sách này trên địa bàn thành phố Đà Nẵng (mới)</w:t>
      </w:r>
      <w:r w:rsidR="00A020E7" w:rsidRPr="00A020E7">
        <w:rPr>
          <w:rFonts w:eastAsia="Courier New"/>
          <w:color w:val="000000"/>
          <w:lang w:val="pt-BR" w:eastAsia="vi-VN"/>
        </w:rPr>
        <w:t>. Đây là chính sách riêng có mà thành phố đã thực hiện nhiều năm nay, có tác động rất lớn đến đời sống vật chất và tinh thần của gia đình, đối tượng Người có công với cách mạng, thể hiện đạo lý uống nước nhớ nguồn của dân tộc ta</w:t>
      </w:r>
      <w:r w:rsidR="00A020E7" w:rsidRPr="00A020E7">
        <w:rPr>
          <w:rFonts w:eastAsia="Courier New"/>
          <w:bCs/>
          <w:color w:val="000000"/>
          <w:shd w:val="clear" w:color="auto" w:fill="FFFFFF"/>
          <w:lang w:val="vi-VN" w:eastAsia="vi-VN"/>
        </w:rPr>
        <w:t>.</w:t>
      </w:r>
      <w:r w:rsidR="00A020E7" w:rsidRPr="00A020E7">
        <w:rPr>
          <w:rFonts w:eastAsia="Courier New"/>
          <w:color w:val="000000"/>
          <w:lang w:val="pt-BR" w:eastAsia="vi-VN"/>
        </w:rPr>
        <w:t xml:space="preserve"> Do vậy, việc thực hiện các chính sách trợ cấp đối với Người có công với cách mạng cần phải được tiếp tục duy trì thực hiện.</w:t>
      </w:r>
    </w:p>
    <w:p w:rsidR="008333D7" w:rsidRPr="00A020E7" w:rsidRDefault="008333D7" w:rsidP="00A020E7">
      <w:pPr>
        <w:widowControl w:val="0"/>
        <w:ind w:firstLine="567"/>
        <w:jc w:val="both"/>
        <w:rPr>
          <w:rFonts w:eastAsia="Courier New"/>
          <w:color w:val="000000"/>
          <w:lang w:val="pt-BR" w:eastAsia="vi-VN"/>
        </w:rPr>
      </w:pPr>
      <w:bookmarkStart w:id="0" w:name="_GoBack"/>
      <w:bookmarkEnd w:id="0"/>
    </w:p>
    <w:p w:rsidR="001F2E9A" w:rsidRPr="00F1583C" w:rsidRDefault="001F2E9A" w:rsidP="00AD7900">
      <w:pPr>
        <w:spacing w:before="120"/>
        <w:ind w:firstLine="567"/>
        <w:jc w:val="both"/>
        <w:rPr>
          <w:b/>
        </w:rPr>
      </w:pPr>
      <w:r w:rsidRPr="00F1583C">
        <w:rPr>
          <w:b/>
        </w:rPr>
        <w:lastRenderedPageBreak/>
        <w:t xml:space="preserve">V. BỐ CỤC VÀ NỘI DUNG CƠ BẢN CỦA DỰ THẢO NGHỊ QUYẾT </w:t>
      </w:r>
    </w:p>
    <w:p w:rsidR="001F2E9A" w:rsidRPr="00F1583C" w:rsidRDefault="001F2E9A" w:rsidP="001F2E9A">
      <w:pPr>
        <w:spacing w:before="60" w:after="60"/>
        <w:ind w:firstLine="567"/>
        <w:jc w:val="both"/>
        <w:rPr>
          <w:b/>
        </w:rPr>
      </w:pPr>
      <w:r w:rsidRPr="00F1583C">
        <w:rPr>
          <w:b/>
        </w:rPr>
        <w:t>1. Bố cục</w:t>
      </w:r>
    </w:p>
    <w:p w:rsidR="001F2E9A" w:rsidRPr="00F1583C" w:rsidRDefault="001F2E9A" w:rsidP="001F2E9A">
      <w:pPr>
        <w:spacing w:before="120" w:after="120"/>
        <w:ind w:firstLine="601"/>
        <w:jc w:val="both"/>
      </w:pPr>
      <w:r w:rsidRPr="00F1583C">
        <w:rPr>
          <w:lang w:val="vi-VN"/>
        </w:rPr>
        <w:t xml:space="preserve">Điều 1. </w:t>
      </w:r>
      <w:r w:rsidRPr="00F1583C">
        <w:t>Phạm vi điều chỉnh</w:t>
      </w:r>
    </w:p>
    <w:p w:rsidR="001F2E9A" w:rsidRDefault="001F2E9A" w:rsidP="001F2E9A">
      <w:pPr>
        <w:spacing w:before="60"/>
        <w:ind w:firstLine="567"/>
        <w:jc w:val="both"/>
      </w:pPr>
      <w:r w:rsidRPr="00F1583C">
        <w:rPr>
          <w:lang w:val="vi-VN"/>
        </w:rPr>
        <w:t>Điều 2.</w:t>
      </w:r>
      <w:r w:rsidRPr="00F1583C">
        <w:t xml:space="preserve"> Đối tượng áp dụng, nguyên tắc thực hiện, mức hỗ trợ và kinh phí</w:t>
      </w:r>
    </w:p>
    <w:p w:rsidR="00B976F2" w:rsidRPr="00F1583C" w:rsidRDefault="00B976F2" w:rsidP="002B7FBD">
      <w:pPr>
        <w:spacing w:before="120"/>
        <w:ind w:firstLine="567"/>
        <w:jc w:val="both"/>
      </w:pPr>
      <w:r w:rsidRPr="00F1583C">
        <w:rPr>
          <w:color w:val="000000"/>
          <w:lang w:val="vi-VN"/>
        </w:rPr>
        <w:t xml:space="preserve">Điều </w:t>
      </w:r>
      <w:r w:rsidRPr="00F1583C">
        <w:rPr>
          <w:color w:val="000000"/>
        </w:rPr>
        <w:t>3</w:t>
      </w:r>
      <w:r w:rsidRPr="00F1583C">
        <w:rPr>
          <w:color w:val="000000"/>
          <w:lang w:val="vi-VN"/>
        </w:rPr>
        <w:t xml:space="preserve">. </w:t>
      </w:r>
      <w:r>
        <w:rPr>
          <w:color w:val="000000"/>
        </w:rPr>
        <w:t>Điều khoản chuyển tiếp</w:t>
      </w:r>
    </w:p>
    <w:p w:rsidR="001F2E9A" w:rsidRPr="00F1583C" w:rsidRDefault="001F2E9A" w:rsidP="001F2E9A">
      <w:pPr>
        <w:spacing w:before="120" w:after="120"/>
        <w:ind w:firstLine="567"/>
        <w:jc w:val="both"/>
      </w:pPr>
      <w:r w:rsidRPr="00F1583C">
        <w:rPr>
          <w:color w:val="000000"/>
          <w:lang w:val="vi-VN"/>
        </w:rPr>
        <w:t xml:space="preserve">Điều </w:t>
      </w:r>
      <w:r w:rsidR="00B976F2">
        <w:rPr>
          <w:color w:val="000000"/>
        </w:rPr>
        <w:t>4</w:t>
      </w:r>
      <w:r w:rsidRPr="00F1583C">
        <w:rPr>
          <w:color w:val="000000"/>
          <w:lang w:val="vi-VN"/>
        </w:rPr>
        <w:t xml:space="preserve">. </w:t>
      </w:r>
      <w:r w:rsidR="00B976F2">
        <w:rPr>
          <w:color w:val="000000"/>
        </w:rPr>
        <w:t>Hiệu lực</w:t>
      </w:r>
      <w:r w:rsidR="00940B6D" w:rsidRPr="00F1583C">
        <w:rPr>
          <w:color w:val="000000"/>
        </w:rPr>
        <w:t xml:space="preserve"> thi hành</w:t>
      </w:r>
      <w:r w:rsidRPr="00F1583C">
        <w:rPr>
          <w:lang w:val="vi-VN"/>
        </w:rPr>
        <w:tab/>
      </w:r>
    </w:p>
    <w:p w:rsidR="001F2E9A" w:rsidRPr="00F1583C" w:rsidRDefault="001F2E9A" w:rsidP="001F2E9A">
      <w:pPr>
        <w:spacing w:before="120" w:after="120"/>
        <w:ind w:firstLine="567"/>
        <w:jc w:val="both"/>
        <w:rPr>
          <w:color w:val="000000"/>
        </w:rPr>
      </w:pPr>
      <w:r w:rsidRPr="00F1583C">
        <w:rPr>
          <w:lang w:val="vi-VN"/>
        </w:rPr>
        <w:t xml:space="preserve">Điều </w:t>
      </w:r>
      <w:r w:rsidR="00B976F2">
        <w:t>5</w:t>
      </w:r>
      <w:r w:rsidRPr="00F1583C">
        <w:rPr>
          <w:lang w:val="vi-VN"/>
        </w:rPr>
        <w:t>. Tổ chức thực hiện</w:t>
      </w:r>
    </w:p>
    <w:p w:rsidR="001F2E9A" w:rsidRPr="00F1583C" w:rsidRDefault="001F2E9A" w:rsidP="001F2E9A">
      <w:pPr>
        <w:spacing w:before="60" w:after="60"/>
        <w:ind w:firstLine="567"/>
        <w:jc w:val="both"/>
        <w:rPr>
          <w:b/>
        </w:rPr>
      </w:pPr>
      <w:r w:rsidRPr="00F1583C">
        <w:rPr>
          <w:b/>
        </w:rPr>
        <w:t>2. Nội dung cơ bản</w:t>
      </w:r>
    </w:p>
    <w:p w:rsidR="001F2E9A" w:rsidRPr="00F1583C" w:rsidRDefault="001F2E9A" w:rsidP="001F2E9A">
      <w:pPr>
        <w:spacing w:before="120" w:after="120"/>
        <w:ind w:firstLine="601"/>
        <w:jc w:val="both"/>
      </w:pPr>
      <w:r w:rsidRPr="00F1583C">
        <w:t xml:space="preserve">Quy định </w:t>
      </w:r>
      <w:r w:rsidRPr="00F1583C">
        <w:rPr>
          <w:lang w:val="vi-VN"/>
        </w:rPr>
        <w:t>chính sách trợ cấp h</w:t>
      </w:r>
      <w:r w:rsidRPr="00F1583C">
        <w:t>ằ</w:t>
      </w:r>
      <w:r w:rsidRPr="00F1583C">
        <w:rPr>
          <w:lang w:val="vi-VN"/>
        </w:rPr>
        <w:t>ng tháng, trợ cấp một lần đối với một số người có công với cách mạng và thân nhân trên địa bàn thành phố Đà Nẵng</w:t>
      </w:r>
      <w:r w:rsidRPr="00F1583C">
        <w:t>.</w:t>
      </w:r>
      <w:r w:rsidRPr="00F1583C">
        <w:rPr>
          <w:lang w:val="vi-VN"/>
        </w:rPr>
        <w:t xml:space="preserve"> </w:t>
      </w:r>
    </w:p>
    <w:p w:rsidR="001F2E9A" w:rsidRPr="00F1583C" w:rsidRDefault="001F2E9A" w:rsidP="001F2E9A">
      <w:pPr>
        <w:spacing w:before="60" w:after="60"/>
        <w:ind w:firstLine="567"/>
        <w:jc w:val="both"/>
        <w:rPr>
          <w:b/>
        </w:rPr>
      </w:pPr>
      <w:r w:rsidRPr="00F1583C">
        <w:rPr>
          <w:b/>
          <w:lang w:val="vi-VN"/>
        </w:rPr>
        <w:t>V</w:t>
      </w:r>
      <w:r w:rsidR="00A020E7">
        <w:rPr>
          <w:b/>
        </w:rPr>
        <w:t>I.</w:t>
      </w:r>
      <w:r w:rsidRPr="00F1583C">
        <w:rPr>
          <w:b/>
          <w:lang w:val="vi-VN"/>
        </w:rPr>
        <w:t xml:space="preserve"> DỰ KIẾN NGUỒN LỰC</w:t>
      </w:r>
    </w:p>
    <w:p w:rsidR="001F2E9A" w:rsidRPr="00F1583C" w:rsidRDefault="001F2E9A" w:rsidP="001F2E9A">
      <w:pPr>
        <w:widowControl w:val="0"/>
        <w:spacing w:before="120" w:after="120"/>
        <w:ind w:firstLine="567"/>
        <w:jc w:val="both"/>
        <w:rPr>
          <w:b/>
          <w:lang w:eastAsia="vi-VN"/>
        </w:rPr>
      </w:pPr>
      <w:r w:rsidRPr="00F1583C">
        <w:rPr>
          <w:b/>
          <w:lang w:eastAsia="vi-VN"/>
        </w:rPr>
        <w:t>1. Đối với chính sách trợ cấp thường xuyên</w:t>
      </w:r>
    </w:p>
    <w:p w:rsidR="001F2E9A" w:rsidRPr="00F1583C" w:rsidRDefault="001F2E9A" w:rsidP="001F2E9A">
      <w:pPr>
        <w:widowControl w:val="0"/>
        <w:spacing w:before="120" w:after="120"/>
        <w:ind w:firstLine="567"/>
        <w:jc w:val="both"/>
      </w:pPr>
      <w:r w:rsidRPr="00F1583C">
        <w:t xml:space="preserve">a) Chính sách trợ cấp đối với người có công giúp đỡ cách mạng đang hưởng trợ cấp thấp (thương binh có tỷ lệ </w:t>
      </w:r>
      <w:r w:rsidR="004E2384">
        <w:t>tổn thương cơ thể</w:t>
      </w:r>
      <w:r w:rsidRPr="00F1583C">
        <w:t xml:space="preserve"> từ 21% đến 30% với mức 200.000 đồng/tháng)</w:t>
      </w:r>
    </w:p>
    <w:p w:rsidR="001F2E9A" w:rsidRPr="00F1583C" w:rsidRDefault="001F2E9A" w:rsidP="001F2E9A">
      <w:pPr>
        <w:widowControl w:val="0"/>
        <w:spacing w:before="120" w:after="120"/>
        <w:ind w:firstLine="567"/>
        <w:jc w:val="both"/>
        <w:rPr>
          <w:rFonts w:eastAsia="Courier New"/>
          <w:bCs/>
          <w:lang w:eastAsia="vi-VN"/>
        </w:rPr>
      </w:pPr>
      <w:r w:rsidRPr="00F1583C">
        <w:t xml:space="preserve">- Dự kiến số lượng: </w:t>
      </w:r>
      <w:r w:rsidRPr="00F1583C">
        <w:rPr>
          <w:rFonts w:eastAsia="Courier New"/>
          <w:bCs/>
          <w:lang w:eastAsia="vi-VN"/>
        </w:rPr>
        <w:t>2.500 người.</w:t>
      </w:r>
    </w:p>
    <w:p w:rsidR="001F2E9A" w:rsidRPr="00F1583C" w:rsidRDefault="001F2E9A" w:rsidP="001F2E9A">
      <w:pPr>
        <w:widowControl w:val="0"/>
        <w:spacing w:before="120" w:after="120"/>
        <w:ind w:firstLine="567"/>
        <w:jc w:val="both"/>
        <w:rPr>
          <w:rFonts w:eastAsia="Courier New"/>
          <w:bCs/>
          <w:lang w:eastAsia="vi-VN"/>
        </w:rPr>
      </w:pPr>
      <w:r w:rsidRPr="00F1583C">
        <w:rPr>
          <w:rFonts w:eastAsia="Courier New"/>
          <w:bCs/>
          <w:lang w:eastAsia="vi-VN"/>
        </w:rPr>
        <w:t>- Kinh phí thực hiện: 6.000.000.000 đồng/năm.</w:t>
      </w:r>
    </w:p>
    <w:p w:rsidR="001F2E9A" w:rsidRPr="00F1583C" w:rsidRDefault="001F2E9A" w:rsidP="001F2E9A">
      <w:pPr>
        <w:widowControl w:val="0"/>
        <w:spacing w:before="120" w:after="120"/>
        <w:ind w:firstLine="567"/>
        <w:jc w:val="both"/>
      </w:pPr>
      <w:r w:rsidRPr="00F1583C">
        <w:t xml:space="preserve">b) Chính sách trợ cấp </w:t>
      </w:r>
      <w:r w:rsidR="00043045">
        <w:t>thường xuyên, đột xuất đối với n</w:t>
      </w:r>
      <w:r w:rsidRPr="00F1583C">
        <w:t>gười có công với cách mạng mắc bệnh hiểm nghèo có hoàn cảnh khó khăn trên địa bàn thành phố Đà Nẵng (Mức hỗ trợ 0,5 lần mức chuẩn trợ cấp người có công, hiện nay là 1.395.000 đồng/tháng)</w:t>
      </w:r>
    </w:p>
    <w:p w:rsidR="001F2E9A" w:rsidRPr="00F1583C" w:rsidRDefault="001F2E9A" w:rsidP="001F2E9A">
      <w:pPr>
        <w:widowControl w:val="0"/>
        <w:spacing w:before="120" w:after="120"/>
        <w:ind w:firstLine="567"/>
        <w:jc w:val="both"/>
      </w:pPr>
      <w:r w:rsidRPr="00F1583C">
        <w:t>- Dự kiến số lượng: 11.862 người.</w:t>
      </w:r>
    </w:p>
    <w:p w:rsidR="001F2E9A" w:rsidRPr="00F1583C" w:rsidRDefault="001F2E9A" w:rsidP="001F2E9A">
      <w:pPr>
        <w:widowControl w:val="0"/>
        <w:spacing w:before="120" w:after="120"/>
        <w:ind w:firstLine="567"/>
        <w:jc w:val="both"/>
      </w:pPr>
      <w:r w:rsidRPr="00F1583C">
        <w:t>- Kinh phí thực hiện: 198.596.800.000 đồng/năm.</w:t>
      </w:r>
    </w:p>
    <w:p w:rsidR="001F2E9A" w:rsidRPr="00F1583C" w:rsidRDefault="001F2E9A" w:rsidP="001F2E9A">
      <w:pPr>
        <w:widowControl w:val="0"/>
        <w:spacing w:before="120" w:after="120"/>
        <w:ind w:firstLine="567"/>
        <w:jc w:val="both"/>
        <w:rPr>
          <w:rFonts w:eastAsia="Courier New"/>
          <w:bCs/>
          <w:lang w:eastAsia="vi-VN"/>
        </w:rPr>
      </w:pPr>
      <w:r w:rsidRPr="00F1583C">
        <w:t>c) C</w:t>
      </w:r>
      <w:r w:rsidRPr="00F1583C">
        <w:rPr>
          <w:rFonts w:eastAsia="Courier New"/>
          <w:bCs/>
          <w:lang w:val="vi-VN" w:eastAsia="vi-VN"/>
        </w:rPr>
        <w:t>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trên địa bàn thành phố Đà Nẵng</w:t>
      </w:r>
    </w:p>
    <w:p w:rsidR="001F2E9A" w:rsidRPr="00F1583C" w:rsidRDefault="001F2E9A" w:rsidP="001F2E9A">
      <w:pPr>
        <w:widowControl w:val="0"/>
        <w:spacing w:before="120" w:after="120"/>
        <w:ind w:firstLine="567"/>
        <w:jc w:val="both"/>
        <w:rPr>
          <w:lang w:eastAsia="vi-VN"/>
        </w:rPr>
      </w:pPr>
      <w:r w:rsidRPr="00F1583C">
        <w:rPr>
          <w:lang w:eastAsia="vi-VN"/>
        </w:rPr>
        <w:t xml:space="preserve">- Đối với chính </w:t>
      </w:r>
      <w:r w:rsidRPr="00F1583C">
        <w:rPr>
          <w:rFonts w:eastAsia="Courier New"/>
          <w:bCs/>
          <w:lang w:val="vi-VN" w:eastAsia="vi-VN"/>
        </w:rPr>
        <w:t>sách hỗ trợ chăm sóc sức khỏe đối với một số đối tượng người có công với cách mạng</w:t>
      </w:r>
      <w:r w:rsidRPr="00F1583C">
        <w:rPr>
          <w:lang w:eastAsia="vi-VN"/>
        </w:rPr>
        <w:t>, mức hỗ trợ 1.500.000 đồng/người</w:t>
      </w:r>
    </w:p>
    <w:p w:rsidR="001F2E9A" w:rsidRPr="00F1583C" w:rsidRDefault="001F2E9A" w:rsidP="001F2E9A">
      <w:pPr>
        <w:widowControl w:val="0"/>
        <w:spacing w:before="120" w:after="120"/>
        <w:ind w:firstLine="567"/>
        <w:jc w:val="both"/>
        <w:rPr>
          <w:lang w:eastAsia="vi-VN"/>
        </w:rPr>
      </w:pPr>
      <w:r w:rsidRPr="00F1583C">
        <w:rPr>
          <w:lang w:eastAsia="vi-VN"/>
        </w:rPr>
        <w:t>+ Dự kiến số lượng: 336 người.</w:t>
      </w:r>
    </w:p>
    <w:p w:rsidR="001F2E9A" w:rsidRPr="00F1583C" w:rsidRDefault="001F2E9A" w:rsidP="001F2E9A">
      <w:pPr>
        <w:widowControl w:val="0"/>
        <w:spacing w:before="120" w:after="120"/>
        <w:ind w:firstLine="567"/>
        <w:jc w:val="both"/>
        <w:rPr>
          <w:lang w:eastAsia="vi-VN"/>
        </w:rPr>
      </w:pPr>
      <w:r w:rsidRPr="00F1583C">
        <w:rPr>
          <w:lang w:eastAsia="vi-VN"/>
        </w:rPr>
        <w:t>+ Kinh phí thực hiện: 6.048.000.000 đồng/năm.</w:t>
      </w:r>
    </w:p>
    <w:p w:rsidR="001F2E9A" w:rsidRPr="00F1583C" w:rsidRDefault="001F2E9A" w:rsidP="001F2E9A">
      <w:pPr>
        <w:widowControl w:val="0"/>
        <w:spacing w:before="120" w:after="120"/>
        <w:ind w:firstLine="567"/>
        <w:jc w:val="both"/>
        <w:rPr>
          <w:lang w:eastAsia="vi-VN"/>
        </w:rPr>
      </w:pPr>
      <w:r w:rsidRPr="00F1583C">
        <w:rPr>
          <w:rFonts w:eastAsia="Courier New"/>
          <w:bCs/>
          <w:lang w:eastAsia="vi-VN"/>
        </w:rPr>
        <w:t xml:space="preserve">- Đối với </w:t>
      </w:r>
      <w:r w:rsidR="00F91C60" w:rsidRPr="002C08DC">
        <w:rPr>
          <w:lang w:eastAsia="vi-VN"/>
        </w:rPr>
        <w:t xml:space="preserve">chính </w:t>
      </w:r>
      <w:r w:rsidR="00F91C60" w:rsidRPr="002C08DC">
        <w:rPr>
          <w:rFonts w:eastAsia="Courier New"/>
          <w:bCs/>
          <w:lang w:val="vi-VN" w:eastAsia="vi-VN"/>
        </w:rPr>
        <w:t>sách hỗ trợ chăm sóc sức khỏe đối với một số đối tượng người có công với cách mạng</w:t>
      </w:r>
      <w:r w:rsidR="00F91C60" w:rsidRPr="00F1583C">
        <w:rPr>
          <w:rFonts w:eastAsia="Courier New"/>
          <w:bCs/>
          <w:lang w:val="vi-VN" w:eastAsia="vi-VN"/>
        </w:rPr>
        <w:t xml:space="preserve"> </w:t>
      </w:r>
      <w:r w:rsidR="00F91C60">
        <w:rPr>
          <w:rFonts w:eastAsia="Courier New"/>
          <w:bCs/>
          <w:lang w:eastAsia="vi-VN"/>
        </w:rPr>
        <w:t xml:space="preserve">và </w:t>
      </w:r>
      <w:r w:rsidRPr="00F1583C">
        <w:rPr>
          <w:rFonts w:eastAsia="Courier New"/>
          <w:bCs/>
          <w:lang w:val="vi-VN" w:eastAsia="vi-VN"/>
        </w:rPr>
        <w:t>chính sách hỗ trợ người có công với cách mạng, thân nhân người có công với cách mạng thuộc hộ nghèo không còn sức lao động</w:t>
      </w:r>
      <w:r w:rsidRPr="00F1583C">
        <w:rPr>
          <w:rFonts w:eastAsia="Courier New"/>
          <w:bCs/>
          <w:lang w:eastAsia="vi-VN"/>
        </w:rPr>
        <w:t>, mức hỗ trợ: 1.000.000 đồng/người</w:t>
      </w:r>
    </w:p>
    <w:p w:rsidR="001F2E9A" w:rsidRPr="00F1583C" w:rsidRDefault="001F2E9A" w:rsidP="001F2E9A">
      <w:pPr>
        <w:widowControl w:val="0"/>
        <w:spacing w:before="120" w:after="120"/>
        <w:ind w:firstLine="567"/>
        <w:jc w:val="both"/>
        <w:rPr>
          <w:lang w:eastAsia="vi-VN"/>
        </w:rPr>
      </w:pPr>
      <w:r w:rsidRPr="00F1583C">
        <w:rPr>
          <w:lang w:eastAsia="vi-VN"/>
        </w:rPr>
        <w:t>+ Dự kiến số lượng: 1.721 người.</w:t>
      </w:r>
    </w:p>
    <w:p w:rsidR="001F2E9A" w:rsidRPr="00F1583C" w:rsidRDefault="001F2E9A" w:rsidP="001F2E9A">
      <w:pPr>
        <w:widowControl w:val="0"/>
        <w:spacing w:before="120" w:after="120"/>
        <w:ind w:firstLine="567"/>
        <w:jc w:val="both"/>
        <w:rPr>
          <w:lang w:eastAsia="vi-VN"/>
        </w:rPr>
      </w:pPr>
      <w:r w:rsidRPr="00F1583C">
        <w:rPr>
          <w:lang w:eastAsia="vi-VN"/>
        </w:rPr>
        <w:lastRenderedPageBreak/>
        <w:t>+ Kinh phí thực hiện: 20.652.000.000 đồng/năm.</w:t>
      </w:r>
    </w:p>
    <w:p w:rsidR="001F2E9A" w:rsidRPr="00F1583C" w:rsidRDefault="001F2E9A" w:rsidP="001F2E9A">
      <w:pPr>
        <w:widowControl w:val="0"/>
        <w:spacing w:before="120" w:after="120"/>
        <w:ind w:firstLine="567"/>
        <w:jc w:val="both"/>
        <w:rPr>
          <w:lang w:eastAsia="vi-VN"/>
        </w:rPr>
      </w:pPr>
      <w:r w:rsidRPr="00F1583C">
        <w:rPr>
          <w:lang w:eastAsia="vi-VN"/>
        </w:rPr>
        <w:t>d) Kinh phí thực hiện đối với chính sách trợ cấp thường xuyên</w:t>
      </w:r>
    </w:p>
    <w:p w:rsidR="001F2E9A" w:rsidRPr="00F1583C" w:rsidRDefault="001F2E9A" w:rsidP="001F2E9A">
      <w:pPr>
        <w:widowControl w:val="0"/>
        <w:spacing w:before="120" w:after="120"/>
        <w:ind w:firstLine="567"/>
        <w:jc w:val="both"/>
        <w:rPr>
          <w:lang w:eastAsia="vi-VN"/>
        </w:rPr>
      </w:pPr>
      <w:r w:rsidRPr="00F1583C">
        <w:rPr>
          <w:lang w:eastAsia="vi-VN"/>
        </w:rPr>
        <w:t>(a) + (b) + (c) = 231.296.800.000 đồng/năm (1)</w:t>
      </w:r>
    </w:p>
    <w:p w:rsidR="001F2E9A" w:rsidRPr="00F1583C" w:rsidRDefault="001F2E9A" w:rsidP="001F2E9A">
      <w:pPr>
        <w:widowControl w:val="0"/>
        <w:spacing w:before="120" w:after="120"/>
        <w:ind w:firstLine="567"/>
        <w:jc w:val="both"/>
        <w:rPr>
          <w:b/>
          <w:lang w:eastAsia="vi-VN"/>
        </w:rPr>
      </w:pPr>
      <w:r w:rsidRPr="00F1583C">
        <w:rPr>
          <w:b/>
          <w:lang w:eastAsia="vi-VN"/>
        </w:rPr>
        <w:t>2. Đối với chính sách trợ cấp một lần</w:t>
      </w:r>
    </w:p>
    <w:p w:rsidR="001F2E9A" w:rsidRPr="00F1583C" w:rsidRDefault="001F2E9A" w:rsidP="001F2E9A">
      <w:pPr>
        <w:widowControl w:val="0"/>
        <w:spacing w:before="120" w:after="120"/>
        <w:ind w:firstLine="567"/>
        <w:jc w:val="both"/>
        <w:rPr>
          <w:rFonts w:eastAsia="Courier New"/>
          <w:bCs/>
          <w:lang w:eastAsia="vi-VN"/>
        </w:rPr>
      </w:pPr>
      <w:r w:rsidRPr="00F1583C">
        <w:rPr>
          <w:lang w:eastAsia="vi-VN"/>
        </w:rPr>
        <w:t xml:space="preserve">Chính sách trợ cấp </w:t>
      </w:r>
      <w:r w:rsidRPr="00F1583C">
        <w:rPr>
          <w:rFonts w:eastAsia="Courier New"/>
          <w:bCs/>
          <w:lang w:val="vi-VN" w:eastAsia="vi-VN"/>
        </w:rPr>
        <w:t>đột xuất đối với người có công với cách mạng mắc bệnh hiểm nghèo có hoàn cảnh khó khăn</w:t>
      </w:r>
      <w:r w:rsidRPr="00F1583C">
        <w:rPr>
          <w:rFonts w:eastAsia="Courier New"/>
          <w:bCs/>
          <w:lang w:eastAsia="vi-VN"/>
        </w:rPr>
        <w:t xml:space="preserve"> (hỗ trợ từ nguồn Quỹ Đền ơn đáp nghĩa, mức hỗ trợ 3.000.000 đồng/năm)</w:t>
      </w:r>
    </w:p>
    <w:p w:rsidR="001F2E9A" w:rsidRPr="00F1583C" w:rsidRDefault="001F2E9A" w:rsidP="001F2E9A">
      <w:pPr>
        <w:widowControl w:val="0"/>
        <w:spacing w:before="120" w:after="120"/>
        <w:ind w:firstLine="567"/>
        <w:jc w:val="both"/>
        <w:rPr>
          <w:lang w:eastAsia="vi-VN"/>
        </w:rPr>
      </w:pPr>
      <w:r w:rsidRPr="00F1583C">
        <w:rPr>
          <w:lang w:eastAsia="vi-VN"/>
        </w:rPr>
        <w:t>- Dự kiến số lượng: 2.074 người.</w:t>
      </w:r>
    </w:p>
    <w:p w:rsidR="00681C93" w:rsidRPr="00450639" w:rsidRDefault="001F2E9A" w:rsidP="00450639">
      <w:pPr>
        <w:widowControl w:val="0"/>
        <w:spacing w:before="120" w:after="120"/>
        <w:ind w:firstLine="567"/>
        <w:jc w:val="both"/>
        <w:rPr>
          <w:lang w:eastAsia="vi-VN"/>
        </w:rPr>
      </w:pPr>
      <w:r w:rsidRPr="00F1583C">
        <w:rPr>
          <w:lang w:eastAsia="vi-VN"/>
        </w:rPr>
        <w:t>- Kinh phí thực hiện: 6.222.000.000 đồng/năm (2)</w:t>
      </w:r>
    </w:p>
    <w:p w:rsidR="001F2E9A" w:rsidRPr="00F1583C" w:rsidRDefault="001F2E9A" w:rsidP="001F2E9A">
      <w:pPr>
        <w:widowControl w:val="0"/>
        <w:spacing w:before="120" w:after="120"/>
        <w:ind w:firstLine="567"/>
        <w:jc w:val="both"/>
        <w:rPr>
          <w:b/>
          <w:lang w:eastAsia="vi-VN"/>
        </w:rPr>
      </w:pPr>
      <w:r w:rsidRPr="00F1583C">
        <w:rPr>
          <w:b/>
          <w:lang w:eastAsia="vi-VN"/>
        </w:rPr>
        <w:t>3. Tổng kinh phí dự kiến thực hiện</w:t>
      </w:r>
    </w:p>
    <w:p w:rsidR="001F2E9A" w:rsidRPr="00F1583C" w:rsidRDefault="001F2E9A" w:rsidP="001F2E9A">
      <w:pPr>
        <w:widowControl w:val="0"/>
        <w:spacing w:before="120" w:after="120"/>
        <w:ind w:firstLine="567"/>
        <w:jc w:val="both"/>
        <w:rPr>
          <w:lang w:eastAsia="vi-VN"/>
        </w:rPr>
      </w:pPr>
      <w:r w:rsidRPr="00F1583C">
        <w:rPr>
          <w:lang w:eastAsia="vi-VN"/>
        </w:rPr>
        <w:t xml:space="preserve">(1) + (2) = 237.518.800.000 đồng/năm </w:t>
      </w:r>
      <w:r w:rsidRPr="00F1583C">
        <w:rPr>
          <w:i/>
          <w:lang w:eastAsia="vi-VN"/>
        </w:rPr>
        <w:t>(Hai trăm ba mươi bảy tỷ, năm trăm mười tám triệu tám trăm nghìn đồng).</w:t>
      </w:r>
    </w:p>
    <w:p w:rsidR="001F2E9A" w:rsidRPr="00F1583C" w:rsidRDefault="001F2E9A" w:rsidP="001F2E9A">
      <w:pPr>
        <w:autoSpaceDE w:val="0"/>
        <w:autoSpaceDN w:val="0"/>
        <w:spacing w:before="120" w:after="120"/>
        <w:ind w:firstLine="567"/>
        <w:jc w:val="both"/>
        <w:rPr>
          <w:rFonts w:eastAsiaTheme="minorHAnsi"/>
          <w:b/>
          <w:bCs/>
          <w:lang w:val="vi-VN"/>
        </w:rPr>
      </w:pPr>
      <w:r w:rsidRPr="00F1583C">
        <w:rPr>
          <w:rFonts w:eastAsiaTheme="minorHAnsi"/>
          <w:b/>
          <w:bCs/>
        </w:rPr>
        <w:t>VI</w:t>
      </w:r>
      <w:r w:rsidR="00A020E7">
        <w:rPr>
          <w:rFonts w:eastAsiaTheme="minorHAnsi"/>
          <w:b/>
          <w:bCs/>
        </w:rPr>
        <w:t>I</w:t>
      </w:r>
      <w:r w:rsidRPr="00F1583C">
        <w:rPr>
          <w:rFonts w:eastAsiaTheme="minorHAnsi"/>
          <w:b/>
          <w:bCs/>
        </w:rPr>
        <w:t>. DỰ KIẾN THỜI GIAN</w:t>
      </w:r>
      <w:r w:rsidRPr="00F1583C">
        <w:rPr>
          <w:rFonts w:eastAsiaTheme="minorHAnsi"/>
          <w:b/>
          <w:bCs/>
          <w:lang w:val="vi-VN"/>
        </w:rPr>
        <w:t xml:space="preserve"> </w:t>
      </w:r>
      <w:r w:rsidRPr="00F1583C">
        <w:rPr>
          <w:rFonts w:eastAsiaTheme="minorHAnsi"/>
          <w:b/>
          <w:bCs/>
        </w:rPr>
        <w:t xml:space="preserve">TRÌNH </w:t>
      </w:r>
      <w:r w:rsidR="00A60972">
        <w:rPr>
          <w:rFonts w:eastAsiaTheme="minorHAnsi"/>
          <w:b/>
          <w:bCs/>
        </w:rPr>
        <w:t>HỘI ĐỒNG NHÂN DÂN</w:t>
      </w:r>
      <w:r w:rsidRPr="00F1583C">
        <w:rPr>
          <w:rFonts w:eastAsiaTheme="minorHAnsi"/>
          <w:b/>
          <w:bCs/>
          <w:lang w:val="vi-VN"/>
        </w:rPr>
        <w:t xml:space="preserve"> THÀNH PHỐ </w:t>
      </w:r>
      <w:r w:rsidRPr="00F1583C">
        <w:rPr>
          <w:rFonts w:eastAsiaTheme="minorHAnsi"/>
          <w:b/>
          <w:bCs/>
        </w:rPr>
        <w:t>THÔNG QUA</w:t>
      </w:r>
      <w:r w:rsidRPr="00F1583C">
        <w:rPr>
          <w:rFonts w:eastAsiaTheme="minorHAnsi"/>
          <w:b/>
          <w:bCs/>
          <w:lang w:val="vi-VN"/>
        </w:rPr>
        <w:t xml:space="preserve"> DỰ THẢO NGHỊ QUYẾT</w:t>
      </w:r>
    </w:p>
    <w:p w:rsidR="001F2E9A" w:rsidRPr="00F1583C" w:rsidRDefault="001F2E9A" w:rsidP="001F2E9A">
      <w:pPr>
        <w:spacing w:before="120" w:after="120"/>
        <w:ind w:firstLine="567"/>
        <w:jc w:val="both"/>
        <w:rPr>
          <w:rFonts w:eastAsiaTheme="minorHAnsi"/>
        </w:rPr>
      </w:pPr>
      <w:r w:rsidRPr="00F1583C">
        <w:rPr>
          <w:rFonts w:eastAsiaTheme="minorHAnsi"/>
        </w:rPr>
        <w:t>Thời gian dự kiế</w:t>
      </w:r>
      <w:r w:rsidR="00A020E7">
        <w:rPr>
          <w:rFonts w:eastAsiaTheme="minorHAnsi"/>
        </w:rPr>
        <w:t>n trình thông qua</w:t>
      </w:r>
      <w:r w:rsidRPr="00F1583C">
        <w:rPr>
          <w:rFonts w:eastAsiaTheme="minorHAnsi"/>
        </w:rPr>
        <w:t xml:space="preserve"> Nghị quyế</w:t>
      </w:r>
      <w:r w:rsidR="00C71CCB">
        <w:rPr>
          <w:rFonts w:eastAsiaTheme="minorHAnsi"/>
        </w:rPr>
        <w:t>t vào kỳ</w:t>
      </w:r>
      <w:r w:rsidRPr="00F1583C">
        <w:rPr>
          <w:rFonts w:eastAsiaTheme="minorHAnsi"/>
        </w:rPr>
        <w:t xml:space="preserve"> họp thường kỳ cuối năm 2025 của HĐND thành phố Đà Nẵng khóa X.</w:t>
      </w:r>
    </w:p>
    <w:p w:rsidR="00E97FC1" w:rsidRPr="00F1583C" w:rsidRDefault="00E97FC1" w:rsidP="00774F8D">
      <w:pPr>
        <w:autoSpaceDE w:val="0"/>
        <w:autoSpaceDN w:val="0"/>
        <w:spacing w:before="120" w:after="240"/>
        <w:ind w:firstLine="567"/>
        <w:jc w:val="both"/>
        <w:rPr>
          <w:rFonts w:eastAsiaTheme="minorHAnsi"/>
          <w:bCs/>
        </w:rPr>
      </w:pPr>
      <w:r w:rsidRPr="00F1583C">
        <w:rPr>
          <w:rFonts w:eastAsiaTheme="minorHAnsi"/>
        </w:rPr>
        <w:t xml:space="preserve">Trên đây là </w:t>
      </w:r>
      <w:r w:rsidR="0026148A">
        <w:rPr>
          <w:rFonts w:eastAsiaTheme="minorHAnsi"/>
        </w:rPr>
        <w:t>nội dung</w:t>
      </w:r>
      <w:r w:rsidRPr="00F1583C">
        <w:rPr>
          <w:rFonts w:eastAsiaTheme="minorHAnsi"/>
        </w:rPr>
        <w:t xml:space="preserve"> trình đề nghị </w:t>
      </w:r>
      <w:r w:rsidR="00BD4894" w:rsidRPr="00F1583C">
        <w:rPr>
          <w:rFonts w:eastAsiaTheme="minorHAnsi"/>
        </w:rPr>
        <w:t xml:space="preserve">ban hành </w:t>
      </w:r>
      <w:r w:rsidRPr="00F1583C">
        <w:rPr>
          <w:rFonts w:eastAsiaTheme="minorHAnsi"/>
          <w:bCs/>
        </w:rPr>
        <w:t>Nghị quyết</w:t>
      </w:r>
      <w:r w:rsidRPr="00F1583C">
        <w:rPr>
          <w:rFonts w:eastAsiaTheme="minorHAnsi"/>
          <w:b/>
          <w:bCs/>
        </w:rPr>
        <w:t xml:space="preserve"> </w:t>
      </w:r>
      <w:r w:rsidRPr="00F1583C">
        <w:rPr>
          <w:rFonts w:eastAsiaTheme="minorHAnsi"/>
        </w:rPr>
        <w:t>quy định chính sách trợ cấp hàng tháng, trợ cấp một lần đối với một số người có công với cách mạng và thân nhân trên địa bàn thành phố Đà Nẵng</w:t>
      </w:r>
      <w:r w:rsidR="002566E8" w:rsidRPr="00F1583C">
        <w:rPr>
          <w:rFonts w:eastAsiaTheme="minorHAnsi"/>
          <w:bCs/>
        </w:rPr>
        <w:t xml:space="preserve">. </w:t>
      </w:r>
      <w:r w:rsidR="0026148A">
        <w:rPr>
          <w:rFonts w:eastAsiaTheme="minorHAnsi"/>
          <w:bCs/>
        </w:rPr>
        <w:t>UBND thành phố k</w:t>
      </w:r>
      <w:r w:rsidR="002566E8" w:rsidRPr="00F1583C">
        <w:rPr>
          <w:rFonts w:eastAsiaTheme="minorHAnsi"/>
          <w:bCs/>
        </w:rPr>
        <w:t xml:space="preserve">ính trình </w:t>
      </w:r>
      <w:r w:rsidRPr="00F1583C">
        <w:rPr>
          <w:rFonts w:eastAsiaTheme="minorHAnsi"/>
          <w:bCs/>
        </w:rPr>
        <w:t>HĐND thành phố./.</w:t>
      </w:r>
    </w:p>
    <w:tbl>
      <w:tblPr>
        <w:tblW w:w="0" w:type="auto"/>
        <w:tblBorders>
          <w:insideH w:val="single" w:sz="4" w:space="0" w:color="auto"/>
        </w:tblBorders>
        <w:tblLook w:val="01E0" w:firstRow="1" w:lastRow="1" w:firstColumn="1" w:lastColumn="1" w:noHBand="0" w:noVBand="0"/>
      </w:tblPr>
      <w:tblGrid>
        <w:gridCol w:w="4135"/>
        <w:gridCol w:w="5210"/>
      </w:tblGrid>
      <w:tr w:rsidR="00E3263C" w:rsidRPr="00D824C7" w:rsidTr="00E3263C">
        <w:tc>
          <w:tcPr>
            <w:tcW w:w="4135" w:type="dxa"/>
            <w:shd w:val="clear" w:color="auto" w:fill="auto"/>
          </w:tcPr>
          <w:p w:rsidR="00E97FC1" w:rsidRPr="00D824C7" w:rsidRDefault="00E97FC1" w:rsidP="00E97FC1">
            <w:pPr>
              <w:rPr>
                <w:sz w:val="24"/>
                <w:szCs w:val="24"/>
              </w:rPr>
            </w:pPr>
            <w:r w:rsidRPr="00D824C7">
              <w:rPr>
                <w:b/>
                <w:bCs/>
                <w:i/>
                <w:iCs/>
                <w:sz w:val="24"/>
                <w:szCs w:val="24"/>
              </w:rPr>
              <w:t>Nơi nhận:</w:t>
            </w:r>
            <w:r w:rsidRPr="00D824C7">
              <w:rPr>
                <w:sz w:val="24"/>
                <w:szCs w:val="24"/>
              </w:rPr>
              <w:t xml:space="preserve"> </w:t>
            </w:r>
          </w:p>
          <w:p w:rsidR="00E97FC1" w:rsidRDefault="00E97FC1" w:rsidP="00E97FC1">
            <w:pPr>
              <w:rPr>
                <w:sz w:val="22"/>
                <w:szCs w:val="22"/>
              </w:rPr>
            </w:pPr>
            <w:r w:rsidRPr="00E3263C">
              <w:rPr>
                <w:sz w:val="22"/>
                <w:szCs w:val="22"/>
              </w:rPr>
              <w:t>- Như trên;</w:t>
            </w:r>
          </w:p>
          <w:p w:rsidR="00746725" w:rsidRDefault="00746725" w:rsidP="00E97FC1">
            <w:pPr>
              <w:rPr>
                <w:sz w:val="22"/>
                <w:szCs w:val="22"/>
              </w:rPr>
            </w:pPr>
            <w:r>
              <w:rPr>
                <w:sz w:val="22"/>
                <w:szCs w:val="22"/>
              </w:rPr>
              <w:t>- Thường trực Thành ủy (b/cáo);</w:t>
            </w:r>
          </w:p>
          <w:p w:rsidR="00746725" w:rsidRDefault="00746725" w:rsidP="00E97FC1">
            <w:pPr>
              <w:rPr>
                <w:sz w:val="22"/>
                <w:szCs w:val="22"/>
              </w:rPr>
            </w:pPr>
            <w:r w:rsidRPr="00746725">
              <w:rPr>
                <w:sz w:val="22"/>
                <w:szCs w:val="22"/>
              </w:rPr>
              <w:t>- CT, các PCT UBND TP (báo cáo);</w:t>
            </w:r>
          </w:p>
          <w:p w:rsidR="00746725" w:rsidRPr="00746725" w:rsidRDefault="00746725" w:rsidP="00E97FC1">
            <w:pPr>
              <w:rPr>
                <w:sz w:val="22"/>
                <w:szCs w:val="22"/>
              </w:rPr>
            </w:pPr>
            <w:r>
              <w:rPr>
                <w:sz w:val="22"/>
                <w:szCs w:val="22"/>
              </w:rPr>
              <w:t xml:space="preserve">- </w:t>
            </w:r>
            <w:r w:rsidRPr="00746725">
              <w:rPr>
                <w:sz w:val="22"/>
                <w:szCs w:val="22"/>
              </w:rPr>
              <w:t>Các ủy viên UBND thành phố</w:t>
            </w:r>
            <w:r>
              <w:rPr>
                <w:sz w:val="22"/>
                <w:szCs w:val="22"/>
              </w:rPr>
              <w:t>;</w:t>
            </w:r>
          </w:p>
          <w:p w:rsidR="00E97FC1" w:rsidRPr="002873E0" w:rsidRDefault="002873E0" w:rsidP="002873E0">
            <w:pPr>
              <w:ind w:left="360" w:hanging="360"/>
              <w:rPr>
                <w:sz w:val="22"/>
                <w:szCs w:val="22"/>
                <w:lang w:val="pt-BR"/>
              </w:rPr>
            </w:pPr>
            <w:r>
              <w:rPr>
                <w:sz w:val="22"/>
                <w:szCs w:val="22"/>
                <w:lang w:val="pt-BR"/>
              </w:rPr>
              <w:t>- Lưu: VT, SNV</w:t>
            </w:r>
          </w:p>
        </w:tc>
        <w:tc>
          <w:tcPr>
            <w:tcW w:w="5210" w:type="dxa"/>
            <w:shd w:val="clear" w:color="auto" w:fill="auto"/>
          </w:tcPr>
          <w:p w:rsidR="00E97FC1" w:rsidRPr="00D824C7" w:rsidRDefault="00E97FC1" w:rsidP="00E97FC1">
            <w:pPr>
              <w:spacing w:before="120"/>
              <w:jc w:val="center"/>
              <w:rPr>
                <w:b/>
                <w:bCs/>
                <w:iCs/>
                <w:lang w:val="pt-BR"/>
              </w:rPr>
            </w:pPr>
            <w:r w:rsidRPr="00D824C7">
              <w:rPr>
                <w:b/>
                <w:bCs/>
                <w:iCs/>
                <w:lang w:val="pt-BR"/>
              </w:rPr>
              <w:t>TM. ỦY BAN NHÂN DÂN</w:t>
            </w:r>
          </w:p>
          <w:p w:rsidR="00E97FC1" w:rsidRPr="00D824C7" w:rsidRDefault="00E97FC1" w:rsidP="00E3263C">
            <w:pPr>
              <w:jc w:val="center"/>
              <w:rPr>
                <w:b/>
                <w:bCs/>
                <w:iCs/>
                <w:lang w:val="pt-BR"/>
              </w:rPr>
            </w:pPr>
            <w:r w:rsidRPr="00D824C7">
              <w:rPr>
                <w:b/>
                <w:bCs/>
                <w:iCs/>
                <w:lang w:val="pt-BR"/>
              </w:rPr>
              <w:t>CHỦ TỊCH</w:t>
            </w:r>
          </w:p>
          <w:p w:rsidR="00E97FC1" w:rsidRPr="00D824C7" w:rsidRDefault="00E97FC1" w:rsidP="00E97FC1">
            <w:pPr>
              <w:spacing w:before="120"/>
              <w:rPr>
                <w:b/>
                <w:bCs/>
                <w:iCs/>
                <w:lang w:val="pt-BR"/>
              </w:rPr>
            </w:pPr>
          </w:p>
          <w:p w:rsidR="00E97FC1" w:rsidRPr="00D824C7" w:rsidRDefault="00E97FC1" w:rsidP="00E97FC1">
            <w:pPr>
              <w:spacing w:before="120"/>
              <w:jc w:val="center"/>
              <w:rPr>
                <w:b/>
                <w:bCs/>
                <w:iCs/>
                <w:lang w:val="pt-BR"/>
              </w:rPr>
            </w:pPr>
          </w:p>
          <w:p w:rsidR="00E97FC1" w:rsidRPr="00D824C7" w:rsidRDefault="00E97FC1" w:rsidP="00E97FC1">
            <w:pPr>
              <w:spacing w:before="120"/>
              <w:jc w:val="center"/>
              <w:rPr>
                <w:b/>
                <w:bCs/>
                <w:iCs/>
                <w:lang w:val="pt-BR"/>
              </w:rPr>
            </w:pPr>
          </w:p>
          <w:p w:rsidR="00E97FC1" w:rsidRPr="00D824C7" w:rsidRDefault="00E97FC1" w:rsidP="00E97FC1">
            <w:pPr>
              <w:spacing w:before="120"/>
              <w:jc w:val="center"/>
              <w:rPr>
                <w:b/>
                <w:bCs/>
                <w:iCs/>
                <w:lang w:val="pt-BR"/>
              </w:rPr>
            </w:pPr>
          </w:p>
          <w:p w:rsidR="00E97FC1" w:rsidRPr="00D824C7" w:rsidRDefault="00E97FC1" w:rsidP="00E97FC1">
            <w:pPr>
              <w:spacing w:before="120"/>
              <w:jc w:val="center"/>
              <w:rPr>
                <w:b/>
                <w:bCs/>
                <w:iCs/>
                <w:lang w:val="pt-BR"/>
              </w:rPr>
            </w:pPr>
          </w:p>
          <w:p w:rsidR="00E97FC1" w:rsidRPr="00D824C7" w:rsidRDefault="00E97FC1" w:rsidP="00E97FC1">
            <w:pPr>
              <w:spacing w:before="120"/>
              <w:jc w:val="center"/>
              <w:rPr>
                <w:b/>
                <w:bCs/>
                <w:iCs/>
                <w:lang w:val="pt-BR"/>
              </w:rPr>
            </w:pPr>
          </w:p>
        </w:tc>
      </w:tr>
    </w:tbl>
    <w:p w:rsidR="00E97FC1" w:rsidRPr="00D824C7" w:rsidRDefault="00E97FC1" w:rsidP="00E97FC1">
      <w:pPr>
        <w:autoSpaceDE w:val="0"/>
        <w:autoSpaceDN w:val="0"/>
        <w:spacing w:before="120"/>
        <w:jc w:val="both"/>
        <w:rPr>
          <w:rFonts w:eastAsiaTheme="minorHAnsi"/>
        </w:rPr>
      </w:pPr>
    </w:p>
    <w:p w:rsidR="00E97FC1" w:rsidRPr="00D824C7" w:rsidRDefault="00E97FC1" w:rsidP="00A450CD">
      <w:pPr>
        <w:jc w:val="center"/>
        <w:rPr>
          <w:b/>
        </w:rPr>
      </w:pPr>
    </w:p>
    <w:sectPr w:rsidR="00E97FC1" w:rsidRPr="00D824C7" w:rsidSect="00C23FC6">
      <w:headerReference w:type="default" r:id="rId9"/>
      <w:footerReference w:type="default" r:id="rId10"/>
      <w:pgSz w:w="11907" w:h="16840" w:code="9"/>
      <w:pgMar w:top="1134" w:right="1077" w:bottom="1077" w:left="1701" w:header="68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CE" w:rsidRDefault="00435BCE" w:rsidP="007D380E">
      <w:r>
        <w:separator/>
      </w:r>
    </w:p>
  </w:endnote>
  <w:endnote w:type="continuationSeparator" w:id="0">
    <w:p w:rsidR="00435BCE" w:rsidRDefault="00435BCE" w:rsidP="007D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7F" w:rsidRDefault="00080E7F">
    <w:pPr>
      <w:pStyle w:val="Footer"/>
      <w:jc w:val="right"/>
    </w:pPr>
  </w:p>
  <w:p w:rsidR="00080E7F" w:rsidRDefault="0008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CE" w:rsidRDefault="00435BCE" w:rsidP="007D380E">
      <w:r>
        <w:separator/>
      </w:r>
    </w:p>
  </w:footnote>
  <w:footnote w:type="continuationSeparator" w:id="0">
    <w:p w:rsidR="00435BCE" w:rsidRDefault="00435BCE" w:rsidP="007D3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7F" w:rsidRPr="00F6788F" w:rsidRDefault="00080E7F">
    <w:pPr>
      <w:pStyle w:val="Header"/>
      <w:jc w:val="center"/>
      <w:rPr>
        <w:sz w:val="24"/>
        <w:szCs w:val="24"/>
      </w:rPr>
    </w:pPr>
    <w:r w:rsidRPr="00F6788F">
      <w:rPr>
        <w:sz w:val="24"/>
        <w:szCs w:val="24"/>
      </w:rPr>
      <w:fldChar w:fldCharType="begin"/>
    </w:r>
    <w:r w:rsidRPr="00F6788F">
      <w:rPr>
        <w:sz w:val="24"/>
        <w:szCs w:val="24"/>
      </w:rPr>
      <w:instrText xml:space="preserve"> PAGE   \* MERGEFORMAT </w:instrText>
    </w:r>
    <w:r w:rsidRPr="00F6788F">
      <w:rPr>
        <w:sz w:val="24"/>
        <w:szCs w:val="24"/>
      </w:rPr>
      <w:fldChar w:fldCharType="separate"/>
    </w:r>
    <w:r w:rsidR="008333D7">
      <w:rPr>
        <w:noProof/>
        <w:sz w:val="24"/>
        <w:szCs w:val="24"/>
      </w:rPr>
      <w:t>6</w:t>
    </w:r>
    <w:r w:rsidRPr="00F6788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4D6"/>
    <w:multiLevelType w:val="hybridMultilevel"/>
    <w:tmpl w:val="27E4A0C6"/>
    <w:lvl w:ilvl="0" w:tplc="6A84BDF4">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235543"/>
    <w:multiLevelType w:val="hybridMultilevel"/>
    <w:tmpl w:val="3C2EFF5C"/>
    <w:lvl w:ilvl="0" w:tplc="94A63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BA34892"/>
    <w:multiLevelType w:val="hybridMultilevel"/>
    <w:tmpl w:val="76B6AAFE"/>
    <w:lvl w:ilvl="0" w:tplc="EA5673D6">
      <w:start w:val="1"/>
      <w:numFmt w:val="decimal"/>
      <w:lvlText w:val="%1."/>
      <w:lvlJc w:val="left"/>
      <w:pPr>
        <w:ind w:left="1092" w:hanging="375"/>
      </w:pPr>
      <w:rPr>
        <w:rFonts w:hint="default"/>
        <w:color w:val="00000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2C5452AC"/>
    <w:multiLevelType w:val="hybridMultilevel"/>
    <w:tmpl w:val="E352499E"/>
    <w:lvl w:ilvl="0" w:tplc="08CCB9F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45383D90"/>
    <w:multiLevelType w:val="hybridMultilevel"/>
    <w:tmpl w:val="2AFA1F74"/>
    <w:lvl w:ilvl="0" w:tplc="03E6065E">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56890FBE"/>
    <w:multiLevelType w:val="hybridMultilevel"/>
    <w:tmpl w:val="5B0AEBFA"/>
    <w:lvl w:ilvl="0" w:tplc="966E9B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9C7734D"/>
    <w:multiLevelType w:val="multilevel"/>
    <w:tmpl w:val="8CA0462E"/>
    <w:lvl w:ilvl="0">
      <w:start w:val="1"/>
      <w:numFmt w:val="decimal"/>
      <w:lvlText w:val="%1."/>
      <w:lvlJc w:val="left"/>
      <w:pPr>
        <w:ind w:left="5039"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7">
    <w:nsid w:val="785060C6"/>
    <w:multiLevelType w:val="hybridMultilevel"/>
    <w:tmpl w:val="C966F04C"/>
    <w:lvl w:ilvl="0" w:tplc="4F90C080">
      <w:start w:val="1"/>
      <w:numFmt w:val="decimal"/>
      <w:lvlText w:val="%1."/>
      <w:lvlJc w:val="left"/>
      <w:pPr>
        <w:ind w:left="1353"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8632D9A"/>
    <w:multiLevelType w:val="hybridMultilevel"/>
    <w:tmpl w:val="DCF8902C"/>
    <w:lvl w:ilvl="0" w:tplc="E87676B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0E"/>
    <w:rsid w:val="00043045"/>
    <w:rsid w:val="000439CF"/>
    <w:rsid w:val="00054707"/>
    <w:rsid w:val="00080E7F"/>
    <w:rsid w:val="00081349"/>
    <w:rsid w:val="000B0E6B"/>
    <w:rsid w:val="000C02AF"/>
    <w:rsid w:val="000C1870"/>
    <w:rsid w:val="000F5165"/>
    <w:rsid w:val="000F62BD"/>
    <w:rsid w:val="001143CC"/>
    <w:rsid w:val="00123CC7"/>
    <w:rsid w:val="00192D06"/>
    <w:rsid w:val="001E57E5"/>
    <w:rsid w:val="001F2E9A"/>
    <w:rsid w:val="00222FE1"/>
    <w:rsid w:val="00231D04"/>
    <w:rsid w:val="00240B69"/>
    <w:rsid w:val="002450CD"/>
    <w:rsid w:val="00246AA0"/>
    <w:rsid w:val="00255E48"/>
    <w:rsid w:val="002566E8"/>
    <w:rsid w:val="0026148A"/>
    <w:rsid w:val="002659F5"/>
    <w:rsid w:val="00277CD8"/>
    <w:rsid w:val="0028166C"/>
    <w:rsid w:val="00285CCB"/>
    <w:rsid w:val="002873E0"/>
    <w:rsid w:val="002959D5"/>
    <w:rsid w:val="002A11D3"/>
    <w:rsid w:val="002A5800"/>
    <w:rsid w:val="002B17AA"/>
    <w:rsid w:val="002B5F56"/>
    <w:rsid w:val="002B7FBD"/>
    <w:rsid w:val="002C1940"/>
    <w:rsid w:val="00301B3E"/>
    <w:rsid w:val="003751BB"/>
    <w:rsid w:val="00391778"/>
    <w:rsid w:val="003A0365"/>
    <w:rsid w:val="003B2B9C"/>
    <w:rsid w:val="00401E63"/>
    <w:rsid w:val="00435BCE"/>
    <w:rsid w:val="00450639"/>
    <w:rsid w:val="00457668"/>
    <w:rsid w:val="004667B5"/>
    <w:rsid w:val="00467B50"/>
    <w:rsid w:val="0047677B"/>
    <w:rsid w:val="00490A92"/>
    <w:rsid w:val="00491132"/>
    <w:rsid w:val="004933A4"/>
    <w:rsid w:val="004E2384"/>
    <w:rsid w:val="005224E5"/>
    <w:rsid w:val="005366DC"/>
    <w:rsid w:val="00547A9F"/>
    <w:rsid w:val="005541F3"/>
    <w:rsid w:val="00555C01"/>
    <w:rsid w:val="005A52F0"/>
    <w:rsid w:val="005D77DF"/>
    <w:rsid w:val="00611EA2"/>
    <w:rsid w:val="0063096A"/>
    <w:rsid w:val="006518D5"/>
    <w:rsid w:val="00651CAB"/>
    <w:rsid w:val="006722D1"/>
    <w:rsid w:val="00681C93"/>
    <w:rsid w:val="006842FF"/>
    <w:rsid w:val="006A7A5C"/>
    <w:rsid w:val="006D17F1"/>
    <w:rsid w:val="006E158F"/>
    <w:rsid w:val="006E59DC"/>
    <w:rsid w:val="00746725"/>
    <w:rsid w:val="00746DF0"/>
    <w:rsid w:val="00774F8D"/>
    <w:rsid w:val="00782816"/>
    <w:rsid w:val="007D380E"/>
    <w:rsid w:val="007D779B"/>
    <w:rsid w:val="007E68CB"/>
    <w:rsid w:val="00805A4E"/>
    <w:rsid w:val="008333D7"/>
    <w:rsid w:val="00840F7B"/>
    <w:rsid w:val="00860478"/>
    <w:rsid w:val="00864C6A"/>
    <w:rsid w:val="0086569C"/>
    <w:rsid w:val="00865C45"/>
    <w:rsid w:val="00884751"/>
    <w:rsid w:val="008A0C71"/>
    <w:rsid w:val="008C107C"/>
    <w:rsid w:val="008C4841"/>
    <w:rsid w:val="008C7CF0"/>
    <w:rsid w:val="008D237C"/>
    <w:rsid w:val="008E598F"/>
    <w:rsid w:val="008F3DBE"/>
    <w:rsid w:val="00905F66"/>
    <w:rsid w:val="009231C3"/>
    <w:rsid w:val="00930024"/>
    <w:rsid w:val="0093097F"/>
    <w:rsid w:val="009340A7"/>
    <w:rsid w:val="00940276"/>
    <w:rsid w:val="00940B6D"/>
    <w:rsid w:val="0095171D"/>
    <w:rsid w:val="009A6041"/>
    <w:rsid w:val="009E1603"/>
    <w:rsid w:val="009E6268"/>
    <w:rsid w:val="00A020E7"/>
    <w:rsid w:val="00A147F4"/>
    <w:rsid w:val="00A14EDD"/>
    <w:rsid w:val="00A26BC0"/>
    <w:rsid w:val="00A450CD"/>
    <w:rsid w:val="00A45C88"/>
    <w:rsid w:val="00A60972"/>
    <w:rsid w:val="00A8763C"/>
    <w:rsid w:val="00A9170F"/>
    <w:rsid w:val="00AD7900"/>
    <w:rsid w:val="00AE0860"/>
    <w:rsid w:val="00AF7077"/>
    <w:rsid w:val="00AF7C6E"/>
    <w:rsid w:val="00B07567"/>
    <w:rsid w:val="00B101A9"/>
    <w:rsid w:val="00B253CE"/>
    <w:rsid w:val="00B2707A"/>
    <w:rsid w:val="00B47DB7"/>
    <w:rsid w:val="00B50201"/>
    <w:rsid w:val="00B5163A"/>
    <w:rsid w:val="00B704D6"/>
    <w:rsid w:val="00B976F2"/>
    <w:rsid w:val="00BB0734"/>
    <w:rsid w:val="00BB7611"/>
    <w:rsid w:val="00BC1A2E"/>
    <w:rsid w:val="00BD4894"/>
    <w:rsid w:val="00BF38AE"/>
    <w:rsid w:val="00C11F15"/>
    <w:rsid w:val="00C12724"/>
    <w:rsid w:val="00C23FC6"/>
    <w:rsid w:val="00C33163"/>
    <w:rsid w:val="00C37DEF"/>
    <w:rsid w:val="00C513C2"/>
    <w:rsid w:val="00C71CCB"/>
    <w:rsid w:val="00C82384"/>
    <w:rsid w:val="00C82F96"/>
    <w:rsid w:val="00C86127"/>
    <w:rsid w:val="00C90BBA"/>
    <w:rsid w:val="00CA6B8C"/>
    <w:rsid w:val="00CB381A"/>
    <w:rsid w:val="00CC358C"/>
    <w:rsid w:val="00CC42BB"/>
    <w:rsid w:val="00CD48E5"/>
    <w:rsid w:val="00CE1295"/>
    <w:rsid w:val="00CF3066"/>
    <w:rsid w:val="00D0312F"/>
    <w:rsid w:val="00D166E6"/>
    <w:rsid w:val="00D20B23"/>
    <w:rsid w:val="00D30ABB"/>
    <w:rsid w:val="00D7250E"/>
    <w:rsid w:val="00D824C7"/>
    <w:rsid w:val="00DA7FAF"/>
    <w:rsid w:val="00DE7936"/>
    <w:rsid w:val="00DF1985"/>
    <w:rsid w:val="00DF7509"/>
    <w:rsid w:val="00E00543"/>
    <w:rsid w:val="00E04721"/>
    <w:rsid w:val="00E3263C"/>
    <w:rsid w:val="00E33F17"/>
    <w:rsid w:val="00E47A26"/>
    <w:rsid w:val="00E72EA9"/>
    <w:rsid w:val="00E97FC1"/>
    <w:rsid w:val="00EB5FF0"/>
    <w:rsid w:val="00EC438B"/>
    <w:rsid w:val="00EC4705"/>
    <w:rsid w:val="00F110EC"/>
    <w:rsid w:val="00F1583C"/>
    <w:rsid w:val="00F232B3"/>
    <w:rsid w:val="00F25294"/>
    <w:rsid w:val="00F53964"/>
    <w:rsid w:val="00F62AD7"/>
    <w:rsid w:val="00F6431B"/>
    <w:rsid w:val="00F91C60"/>
    <w:rsid w:val="00FD02E3"/>
    <w:rsid w:val="00FD02EC"/>
    <w:rsid w:val="00FD3DAE"/>
    <w:rsid w:val="00FE1F9E"/>
    <w:rsid w:val="00FE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0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
    <w:basedOn w:val="Normal"/>
    <w:link w:val="NormalWebChar"/>
    <w:uiPriority w:val="99"/>
    <w:rsid w:val="007D380E"/>
    <w:pPr>
      <w:spacing w:before="100" w:beforeAutospacing="1" w:after="100" w:afterAutospacing="1"/>
    </w:pPr>
    <w:rPr>
      <w:sz w:val="24"/>
      <w:szCs w:val="24"/>
    </w:rPr>
  </w:style>
  <w:style w:type="paragraph" w:styleId="Header">
    <w:name w:val="header"/>
    <w:basedOn w:val="Normal"/>
    <w:link w:val="HeaderChar"/>
    <w:uiPriority w:val="99"/>
    <w:rsid w:val="007D380E"/>
    <w:pPr>
      <w:tabs>
        <w:tab w:val="center" w:pos="4680"/>
        <w:tab w:val="right" w:pos="9360"/>
      </w:tabs>
    </w:pPr>
  </w:style>
  <w:style w:type="character" w:customStyle="1" w:styleId="HeaderChar">
    <w:name w:val="Header Char"/>
    <w:basedOn w:val="DefaultParagraphFont"/>
    <w:link w:val="Header"/>
    <w:uiPriority w:val="99"/>
    <w:rsid w:val="007D380E"/>
    <w:rPr>
      <w:rFonts w:ascii="Times New Roman" w:eastAsia="Times New Roman" w:hAnsi="Times New Roman" w:cs="Times New Roman"/>
      <w:sz w:val="28"/>
      <w:szCs w:val="28"/>
    </w:rPr>
  </w:style>
  <w:style w:type="paragraph" w:styleId="Footer">
    <w:name w:val="footer"/>
    <w:basedOn w:val="Normal"/>
    <w:link w:val="FooterChar"/>
    <w:uiPriority w:val="99"/>
    <w:rsid w:val="007D380E"/>
    <w:pPr>
      <w:tabs>
        <w:tab w:val="center" w:pos="4680"/>
        <w:tab w:val="right" w:pos="9360"/>
      </w:tabs>
    </w:pPr>
  </w:style>
  <w:style w:type="character" w:customStyle="1" w:styleId="FooterChar">
    <w:name w:val="Footer Char"/>
    <w:basedOn w:val="DefaultParagraphFont"/>
    <w:link w:val="Footer"/>
    <w:uiPriority w:val="99"/>
    <w:rsid w:val="007D380E"/>
    <w:rPr>
      <w:rFonts w:ascii="Times New Roman" w:eastAsia="Times New Roman" w:hAnsi="Times New Roman" w:cs="Times New Roman"/>
      <w:sz w:val="28"/>
      <w:szCs w:val="28"/>
    </w:rPr>
  </w:style>
  <w:style w:type="character" w:customStyle="1" w:styleId="NormalWebChar">
    <w:name w:val="Normal (Web) Char"/>
    <w:aliases w:val=" Char Char Char Char"/>
    <w:link w:val="NormalWeb"/>
    <w:locked/>
    <w:rsid w:val="007D380E"/>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Text1,Ref,de nota al pie,Footnote + Arial,10 pt,Black,Footnote Text11,BVI fnr,Footnote Reference Number,Footnote Reference_LVL6"/>
    <w:qFormat/>
    <w:rsid w:val="007D380E"/>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fn"/>
    <w:basedOn w:val="Normal"/>
    <w:link w:val="FootnoteTextChar"/>
    <w:qFormat/>
    <w:rsid w:val="007D380E"/>
    <w:pPr>
      <w:spacing w:before="120"/>
      <w:jc w:val="both"/>
    </w:pPr>
    <w:rPr>
      <w:color w:val="0000FF"/>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 Char,fn Char"/>
    <w:basedOn w:val="DefaultParagraphFont"/>
    <w:link w:val="FootnoteText"/>
    <w:rsid w:val="007D380E"/>
    <w:rPr>
      <w:rFonts w:ascii="Times New Roman" w:eastAsia="Times New Roman" w:hAnsi="Times New Roman" w:cs="Times New Roman"/>
      <w:color w:val="0000FF"/>
      <w:sz w:val="20"/>
      <w:szCs w:val="20"/>
    </w:rPr>
  </w:style>
  <w:style w:type="paragraph" w:styleId="ListParagraph">
    <w:name w:val="List Paragraph"/>
    <w:basedOn w:val="Normal"/>
    <w:uiPriority w:val="34"/>
    <w:qFormat/>
    <w:rsid w:val="00DF7509"/>
    <w:pPr>
      <w:ind w:left="720"/>
      <w:contextualSpacing/>
    </w:pPr>
  </w:style>
  <w:style w:type="paragraph" w:styleId="BalloonText">
    <w:name w:val="Balloon Text"/>
    <w:basedOn w:val="Normal"/>
    <w:link w:val="BalloonTextChar"/>
    <w:uiPriority w:val="99"/>
    <w:semiHidden/>
    <w:unhideWhenUsed/>
    <w:rsid w:val="00905F66"/>
    <w:rPr>
      <w:rFonts w:ascii="Tahoma" w:hAnsi="Tahoma" w:cs="Tahoma"/>
      <w:sz w:val="16"/>
      <w:szCs w:val="16"/>
    </w:rPr>
  </w:style>
  <w:style w:type="character" w:customStyle="1" w:styleId="BalloonTextChar">
    <w:name w:val="Balloon Text Char"/>
    <w:basedOn w:val="DefaultParagraphFont"/>
    <w:link w:val="BalloonText"/>
    <w:uiPriority w:val="99"/>
    <w:semiHidden/>
    <w:rsid w:val="00905F66"/>
    <w:rPr>
      <w:rFonts w:ascii="Tahoma" w:eastAsia="Times New Roman" w:hAnsi="Tahoma" w:cs="Tahoma"/>
      <w:sz w:val="16"/>
      <w:szCs w:val="16"/>
    </w:rPr>
  </w:style>
  <w:style w:type="character" w:styleId="Strong">
    <w:name w:val="Strong"/>
    <w:qFormat/>
    <w:rsid w:val="002566E8"/>
    <w:rPr>
      <w:b/>
      <w:bCs/>
    </w:rPr>
  </w:style>
  <w:style w:type="table" w:styleId="TableGrid">
    <w:name w:val="Table Grid"/>
    <w:basedOn w:val="TableNormal"/>
    <w:uiPriority w:val="39"/>
    <w:rsid w:val="002B5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0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
    <w:basedOn w:val="Normal"/>
    <w:link w:val="NormalWebChar"/>
    <w:uiPriority w:val="99"/>
    <w:rsid w:val="007D380E"/>
    <w:pPr>
      <w:spacing w:before="100" w:beforeAutospacing="1" w:after="100" w:afterAutospacing="1"/>
    </w:pPr>
    <w:rPr>
      <w:sz w:val="24"/>
      <w:szCs w:val="24"/>
    </w:rPr>
  </w:style>
  <w:style w:type="paragraph" w:styleId="Header">
    <w:name w:val="header"/>
    <w:basedOn w:val="Normal"/>
    <w:link w:val="HeaderChar"/>
    <w:uiPriority w:val="99"/>
    <w:rsid w:val="007D380E"/>
    <w:pPr>
      <w:tabs>
        <w:tab w:val="center" w:pos="4680"/>
        <w:tab w:val="right" w:pos="9360"/>
      </w:tabs>
    </w:pPr>
  </w:style>
  <w:style w:type="character" w:customStyle="1" w:styleId="HeaderChar">
    <w:name w:val="Header Char"/>
    <w:basedOn w:val="DefaultParagraphFont"/>
    <w:link w:val="Header"/>
    <w:uiPriority w:val="99"/>
    <w:rsid w:val="007D380E"/>
    <w:rPr>
      <w:rFonts w:ascii="Times New Roman" w:eastAsia="Times New Roman" w:hAnsi="Times New Roman" w:cs="Times New Roman"/>
      <w:sz w:val="28"/>
      <w:szCs w:val="28"/>
    </w:rPr>
  </w:style>
  <w:style w:type="paragraph" w:styleId="Footer">
    <w:name w:val="footer"/>
    <w:basedOn w:val="Normal"/>
    <w:link w:val="FooterChar"/>
    <w:uiPriority w:val="99"/>
    <w:rsid w:val="007D380E"/>
    <w:pPr>
      <w:tabs>
        <w:tab w:val="center" w:pos="4680"/>
        <w:tab w:val="right" w:pos="9360"/>
      </w:tabs>
    </w:pPr>
  </w:style>
  <w:style w:type="character" w:customStyle="1" w:styleId="FooterChar">
    <w:name w:val="Footer Char"/>
    <w:basedOn w:val="DefaultParagraphFont"/>
    <w:link w:val="Footer"/>
    <w:uiPriority w:val="99"/>
    <w:rsid w:val="007D380E"/>
    <w:rPr>
      <w:rFonts w:ascii="Times New Roman" w:eastAsia="Times New Roman" w:hAnsi="Times New Roman" w:cs="Times New Roman"/>
      <w:sz w:val="28"/>
      <w:szCs w:val="28"/>
    </w:rPr>
  </w:style>
  <w:style w:type="character" w:customStyle="1" w:styleId="NormalWebChar">
    <w:name w:val="Normal (Web) Char"/>
    <w:aliases w:val=" Char Char Char Char"/>
    <w:link w:val="NormalWeb"/>
    <w:locked/>
    <w:rsid w:val="007D380E"/>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Text1,Ref,de nota al pie,Footnote + Arial,10 pt,Black,Footnote Text11,BVI fnr,Footnote Reference Number,Footnote Reference_LVL6"/>
    <w:qFormat/>
    <w:rsid w:val="007D380E"/>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fn"/>
    <w:basedOn w:val="Normal"/>
    <w:link w:val="FootnoteTextChar"/>
    <w:qFormat/>
    <w:rsid w:val="007D380E"/>
    <w:pPr>
      <w:spacing w:before="120"/>
      <w:jc w:val="both"/>
    </w:pPr>
    <w:rPr>
      <w:color w:val="0000FF"/>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 Char,fn Char"/>
    <w:basedOn w:val="DefaultParagraphFont"/>
    <w:link w:val="FootnoteText"/>
    <w:rsid w:val="007D380E"/>
    <w:rPr>
      <w:rFonts w:ascii="Times New Roman" w:eastAsia="Times New Roman" w:hAnsi="Times New Roman" w:cs="Times New Roman"/>
      <w:color w:val="0000FF"/>
      <w:sz w:val="20"/>
      <w:szCs w:val="20"/>
    </w:rPr>
  </w:style>
  <w:style w:type="paragraph" w:styleId="ListParagraph">
    <w:name w:val="List Paragraph"/>
    <w:basedOn w:val="Normal"/>
    <w:uiPriority w:val="34"/>
    <w:qFormat/>
    <w:rsid w:val="00DF7509"/>
    <w:pPr>
      <w:ind w:left="720"/>
      <w:contextualSpacing/>
    </w:pPr>
  </w:style>
  <w:style w:type="paragraph" w:styleId="BalloonText">
    <w:name w:val="Balloon Text"/>
    <w:basedOn w:val="Normal"/>
    <w:link w:val="BalloonTextChar"/>
    <w:uiPriority w:val="99"/>
    <w:semiHidden/>
    <w:unhideWhenUsed/>
    <w:rsid w:val="00905F66"/>
    <w:rPr>
      <w:rFonts w:ascii="Tahoma" w:hAnsi="Tahoma" w:cs="Tahoma"/>
      <w:sz w:val="16"/>
      <w:szCs w:val="16"/>
    </w:rPr>
  </w:style>
  <w:style w:type="character" w:customStyle="1" w:styleId="BalloonTextChar">
    <w:name w:val="Balloon Text Char"/>
    <w:basedOn w:val="DefaultParagraphFont"/>
    <w:link w:val="BalloonText"/>
    <w:uiPriority w:val="99"/>
    <w:semiHidden/>
    <w:rsid w:val="00905F66"/>
    <w:rPr>
      <w:rFonts w:ascii="Tahoma" w:eastAsia="Times New Roman" w:hAnsi="Tahoma" w:cs="Tahoma"/>
      <w:sz w:val="16"/>
      <w:szCs w:val="16"/>
    </w:rPr>
  </w:style>
  <w:style w:type="character" w:styleId="Strong">
    <w:name w:val="Strong"/>
    <w:qFormat/>
    <w:rsid w:val="002566E8"/>
    <w:rPr>
      <w:b/>
      <w:bCs/>
    </w:rPr>
  </w:style>
  <w:style w:type="table" w:styleId="TableGrid">
    <w:name w:val="Table Grid"/>
    <w:basedOn w:val="TableNormal"/>
    <w:uiPriority w:val="39"/>
    <w:rsid w:val="002B5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6251-71C9-40F1-9C2B-9828261F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11</cp:revision>
  <cp:lastPrinted>2025-10-21T08:01:00Z</cp:lastPrinted>
  <dcterms:created xsi:type="dcterms:W3CDTF">2025-10-21T03:13:00Z</dcterms:created>
  <dcterms:modified xsi:type="dcterms:W3CDTF">2025-10-21T08:01:00Z</dcterms:modified>
</cp:coreProperties>
</file>